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A52" w:rsidRPr="00993F31" w:rsidRDefault="001E7A52" w:rsidP="001E7A52">
      <w:pPr>
        <w:jc w:val="center"/>
        <w:rPr>
          <w:rFonts w:ascii="Calibri" w:eastAsia="Calibri" w:hAnsi="Calibri" w:cs="Times New Roman"/>
          <w:b/>
          <w:color w:val="17365D" w:themeColor="text2" w:themeShade="BF"/>
          <w:sz w:val="24"/>
          <w:szCs w:val="24"/>
          <w:lang w:val="fr-FR"/>
        </w:rPr>
      </w:pPr>
      <w:r w:rsidRPr="00993F31">
        <w:rPr>
          <w:rFonts w:ascii="Calibri" w:eastAsia="Calibri" w:hAnsi="Calibri" w:cs="Times New Roman"/>
          <w:b/>
          <w:color w:val="17365D" w:themeColor="text2" w:themeShade="BF"/>
          <w:sz w:val="24"/>
          <w:szCs w:val="24"/>
          <w:lang w:val="fr-FR"/>
        </w:rPr>
        <w:t xml:space="preserve">Programme de contribution </w:t>
      </w:r>
      <w:proofErr w:type="spellStart"/>
      <w:r w:rsidRPr="00993F31">
        <w:rPr>
          <w:rFonts w:ascii="Calibri" w:eastAsia="Calibri" w:hAnsi="Calibri" w:cs="Times New Roman"/>
          <w:b/>
          <w:color w:val="17365D" w:themeColor="text2" w:themeShade="BF"/>
          <w:sz w:val="24"/>
          <w:szCs w:val="24"/>
          <w:lang w:val="fr-FR"/>
        </w:rPr>
        <w:t>Tdh</w:t>
      </w:r>
      <w:proofErr w:type="spellEnd"/>
      <w:r w:rsidRPr="00993F31">
        <w:rPr>
          <w:rFonts w:ascii="Calibri" w:eastAsia="Calibri" w:hAnsi="Calibri" w:cs="Times New Roman"/>
          <w:b/>
          <w:color w:val="17365D" w:themeColor="text2" w:themeShade="BF"/>
          <w:sz w:val="24"/>
          <w:szCs w:val="24"/>
          <w:lang w:val="fr-FR"/>
        </w:rPr>
        <w:t xml:space="preserve"> 2017-2020 / Plan stratégique 2016-2020</w:t>
      </w:r>
    </w:p>
    <w:p w:rsidR="001E7A52" w:rsidRPr="00993F31" w:rsidRDefault="001E7A52" w:rsidP="001E7A52">
      <w:pPr>
        <w:jc w:val="center"/>
        <w:rPr>
          <w:rFonts w:ascii="Calibri" w:eastAsia="Calibri" w:hAnsi="Calibri" w:cs="Times New Roman"/>
          <w:b/>
          <w:color w:val="17365D" w:themeColor="text2" w:themeShade="BF"/>
          <w:sz w:val="24"/>
          <w:szCs w:val="24"/>
          <w:lang w:val="fr-FR"/>
        </w:rPr>
      </w:pPr>
      <w:r w:rsidRPr="00993F31">
        <w:rPr>
          <w:rFonts w:ascii="Calibri" w:eastAsia="Calibri" w:hAnsi="Calibri" w:cs="Times New Roman"/>
          <w:b/>
          <w:color w:val="17365D" w:themeColor="text2" w:themeShade="BF"/>
          <w:sz w:val="24"/>
          <w:szCs w:val="24"/>
          <w:lang w:val="fr-FR"/>
        </w:rPr>
        <w:t>Indicateurs de résultats du programme</w:t>
      </w:r>
    </w:p>
    <w:p w:rsidR="008B6CE8" w:rsidRPr="00993F31" w:rsidRDefault="001E7A52" w:rsidP="008B6CE8">
      <w:pPr>
        <w:rPr>
          <w:b/>
          <w:lang w:val="fr-FR"/>
        </w:rPr>
      </w:pPr>
      <w:r w:rsidRPr="00993F31">
        <w:rPr>
          <w:b/>
          <w:lang w:val="fr-FR"/>
        </w:rPr>
        <w:t xml:space="preserve"> </w:t>
      </w:r>
      <w:r w:rsidR="008B6CE8" w:rsidRPr="00993F31">
        <w:rPr>
          <w:b/>
          <w:lang w:val="fr-FR"/>
        </w:rPr>
        <w:t>[Programme]</w:t>
      </w:r>
      <w:r w:rsidR="00C925B7" w:rsidRPr="00993F31">
        <w:rPr>
          <w:b/>
          <w:lang w:val="fr-FR"/>
        </w:rPr>
        <w:t xml:space="preserve"> : </w:t>
      </w:r>
      <w:r w:rsidR="004B4333" w:rsidRPr="00993F31">
        <w:rPr>
          <w:lang w:val="fr-FR"/>
        </w:rPr>
        <w:t>L</w:t>
      </w:r>
      <w:r w:rsidRPr="00993F31">
        <w:rPr>
          <w:lang w:val="fr-FR"/>
        </w:rPr>
        <w:t xml:space="preserve">utte contre </w:t>
      </w:r>
      <w:r w:rsidR="004B4333" w:rsidRPr="00993F31">
        <w:rPr>
          <w:lang w:val="fr-FR"/>
        </w:rPr>
        <w:t xml:space="preserve">l’exploitation des enfants </w:t>
      </w:r>
      <w:r w:rsidRPr="00993F31">
        <w:rPr>
          <w:lang w:val="fr-FR"/>
        </w:rPr>
        <w:t xml:space="preserve"> </w:t>
      </w:r>
    </w:p>
    <w:p w:rsidR="007455D6" w:rsidRPr="008D52BE" w:rsidRDefault="008B6CE8" w:rsidP="008D52BE">
      <w:pPr>
        <w:jc w:val="both"/>
      </w:pPr>
      <w:r w:rsidRPr="00993F31">
        <w:rPr>
          <w:b/>
          <w:lang w:val="fr-FR"/>
        </w:rPr>
        <w:t>[</w:t>
      </w:r>
      <w:r w:rsidR="006C173F" w:rsidRPr="00993F31">
        <w:rPr>
          <w:b/>
          <w:lang w:val="fr-FR"/>
        </w:rPr>
        <w:t>Résultat</w:t>
      </w:r>
      <w:r w:rsidRPr="00993F31">
        <w:rPr>
          <w:b/>
          <w:lang w:val="fr-FR"/>
        </w:rPr>
        <w:t>]</w:t>
      </w:r>
      <w:r w:rsidR="00C925B7" w:rsidRPr="00993F31">
        <w:rPr>
          <w:b/>
          <w:lang w:val="fr-FR"/>
        </w:rPr>
        <w:t xml:space="preserve"> </w:t>
      </w:r>
      <w:proofErr w:type="spellStart"/>
      <w:r w:rsidR="00103CD3" w:rsidRPr="00993F31">
        <w:rPr>
          <w:b/>
          <w:lang w:val="fr-FR"/>
        </w:rPr>
        <w:t>O</w:t>
      </w:r>
      <w:r w:rsidR="003D4C1B" w:rsidRPr="00993F31">
        <w:rPr>
          <w:b/>
          <w:lang w:val="fr-FR"/>
        </w:rPr>
        <w:t>2</w:t>
      </w:r>
      <w:proofErr w:type="spellEnd"/>
      <w:r w:rsidR="008D52BE">
        <w:rPr>
          <w:b/>
          <w:lang w:val="fr-FR"/>
        </w:rPr>
        <w:t xml:space="preserve">. </w:t>
      </w:r>
      <w:r w:rsidR="008D52BE" w:rsidRPr="008D52BE">
        <w:rPr>
          <w:lang w:val="fr-FR"/>
        </w:rPr>
        <w:t>Terre des hommes contribue à réduire le nombre d’enfants en situation d’exploitation dans les chaînes de création de valeur de trois grandes entreprises.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7272"/>
      </w:tblGrid>
      <w:tr w:rsidR="00203871" w:rsidRPr="00993F31" w:rsidTr="00CF1A6E">
        <w:tc>
          <w:tcPr>
            <w:tcW w:w="1908" w:type="dxa"/>
            <w:shd w:val="clear" w:color="auto" w:fill="DBE5F1" w:themeFill="accent1" w:themeFillTint="33"/>
          </w:tcPr>
          <w:p w:rsidR="00203871" w:rsidRPr="00993F31" w:rsidRDefault="001E7A52" w:rsidP="00C147AF">
            <w:pPr>
              <w:tabs>
                <w:tab w:val="left" w:pos="3960"/>
              </w:tabs>
              <w:spacing w:line="240" w:lineRule="auto"/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</w:pPr>
            <w:r w:rsidRPr="00993F31"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  <w:t>Indicateur</w:t>
            </w:r>
            <w:r w:rsidR="00203871" w:rsidRPr="00993F31"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  <w:t xml:space="preserve"> </w:t>
            </w:r>
            <w:r w:rsidRPr="00993F31"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  <w:t>(Titre</w:t>
            </w:r>
            <w:r w:rsidR="00524D21" w:rsidRPr="00993F31"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  <w:t>)</w:t>
            </w:r>
          </w:p>
        </w:tc>
        <w:tc>
          <w:tcPr>
            <w:tcW w:w="7272" w:type="dxa"/>
            <w:shd w:val="clear" w:color="auto" w:fill="FFFFFF" w:themeFill="background1"/>
          </w:tcPr>
          <w:p w:rsidR="00F62375" w:rsidRPr="00993F31" w:rsidRDefault="003D4C1B" w:rsidP="00C147AF">
            <w:pPr>
              <w:spacing w:line="240" w:lineRule="auto"/>
              <w:rPr>
                <w:rFonts w:eastAsiaTheme="minorEastAsia"/>
                <w:b/>
                <w:sz w:val="20"/>
                <w:szCs w:val="20"/>
                <w:lang w:val="fr-FR" w:eastAsia="fr-CH"/>
              </w:rPr>
            </w:pPr>
            <w:r w:rsidRPr="00993F31">
              <w:rPr>
                <w:rFonts w:eastAsiaTheme="minorEastAsia"/>
                <w:b/>
                <w:sz w:val="20"/>
                <w:szCs w:val="20"/>
                <w:lang w:val="fr-FR" w:eastAsia="fr-CH"/>
              </w:rPr>
              <w:t xml:space="preserve">2.1. </w:t>
            </w:r>
            <w:r w:rsidR="006C173F" w:rsidRPr="00993F31">
              <w:rPr>
                <w:rFonts w:eastAsiaTheme="minorEastAsia"/>
                <w:b/>
                <w:sz w:val="20"/>
                <w:szCs w:val="20"/>
                <w:lang w:val="fr-FR" w:eastAsia="fr-CH"/>
              </w:rPr>
              <w:t>M</w:t>
            </w:r>
            <w:r w:rsidR="001E7A52" w:rsidRPr="00993F31">
              <w:rPr>
                <w:rFonts w:eastAsiaTheme="minorEastAsia"/>
                <w:b/>
                <w:sz w:val="20"/>
                <w:szCs w:val="20"/>
                <w:lang w:val="fr-FR" w:eastAsia="fr-CH"/>
              </w:rPr>
              <w:t xml:space="preserve">ise en œuvre de la stratégie de </w:t>
            </w:r>
            <w:proofErr w:type="spellStart"/>
            <w:r w:rsidR="001E7A52" w:rsidRPr="00993F31">
              <w:rPr>
                <w:rFonts w:eastAsiaTheme="minorEastAsia"/>
                <w:b/>
                <w:sz w:val="20"/>
                <w:szCs w:val="20"/>
                <w:lang w:val="fr-FR" w:eastAsia="fr-CH"/>
              </w:rPr>
              <w:t>Tdh</w:t>
            </w:r>
            <w:proofErr w:type="spellEnd"/>
          </w:p>
          <w:p w:rsidR="005D6032" w:rsidRPr="00993F31" w:rsidRDefault="006C173F" w:rsidP="00BB5482">
            <w:pPr>
              <w:spacing w:line="240" w:lineRule="auto"/>
              <w:rPr>
                <w:rFonts w:eastAsia="Calibri" w:cs="Times New Roman"/>
                <w:sz w:val="20"/>
                <w:szCs w:val="20"/>
                <w:lang w:val="fr-FR"/>
              </w:rPr>
            </w:pPr>
            <w:r w:rsidRPr="00993F31">
              <w:rPr>
                <w:rFonts w:eastAsia="Calibri" w:cs="Times New Roman"/>
                <w:sz w:val="20"/>
                <w:szCs w:val="20"/>
                <w:lang w:val="fr-FR"/>
              </w:rPr>
              <w:t>Degré</w:t>
            </w:r>
            <w:r w:rsidR="00F31472" w:rsidRPr="00993F31">
              <w:rPr>
                <w:rFonts w:eastAsia="Calibri" w:cs="Times New Roman"/>
                <w:sz w:val="20"/>
                <w:szCs w:val="20"/>
                <w:lang w:val="fr-FR"/>
              </w:rPr>
              <w:t xml:space="preserve"> de mise en œuvre </w:t>
            </w:r>
            <w:r w:rsidR="00BB5482" w:rsidRPr="00993F31">
              <w:rPr>
                <w:rFonts w:eastAsia="Calibri" w:cs="Times New Roman"/>
                <w:sz w:val="20"/>
                <w:szCs w:val="20"/>
                <w:lang w:val="fr-FR"/>
              </w:rPr>
              <w:t>du guide et des outils</w:t>
            </w:r>
            <w:r w:rsidR="00773769" w:rsidRPr="00993F31">
              <w:rPr>
                <w:rFonts w:eastAsia="Calibri" w:cs="Times New Roman"/>
                <w:sz w:val="20"/>
                <w:szCs w:val="20"/>
                <w:lang w:val="fr-FR"/>
              </w:rPr>
              <w:t xml:space="preserve"> de collaboration avec les entreprises de </w:t>
            </w:r>
            <w:proofErr w:type="spellStart"/>
            <w:r w:rsidR="00F31472" w:rsidRPr="00993F31">
              <w:rPr>
                <w:rFonts w:eastAsia="Calibri" w:cs="Times New Roman"/>
                <w:sz w:val="20"/>
                <w:szCs w:val="20"/>
                <w:lang w:val="fr-FR"/>
              </w:rPr>
              <w:t>Tdh</w:t>
            </w:r>
            <w:proofErr w:type="spellEnd"/>
            <w:r w:rsidR="004B4333" w:rsidRPr="00993F31">
              <w:rPr>
                <w:rFonts w:eastAsia="Calibri" w:cs="Times New Roman"/>
                <w:sz w:val="20"/>
                <w:szCs w:val="20"/>
                <w:lang w:val="fr-FR"/>
              </w:rPr>
              <w:t>,</w:t>
            </w:r>
            <w:r w:rsidR="00F31472" w:rsidRPr="00993F31">
              <w:rPr>
                <w:rFonts w:eastAsia="Calibri" w:cs="Times New Roman"/>
                <w:sz w:val="20"/>
                <w:szCs w:val="20"/>
                <w:lang w:val="fr-FR"/>
              </w:rPr>
              <w:t xml:space="preserve"> dans le co</w:t>
            </w:r>
            <w:r w:rsidRPr="00993F31">
              <w:rPr>
                <w:rFonts w:eastAsia="Calibri" w:cs="Times New Roman"/>
                <w:sz w:val="20"/>
                <w:szCs w:val="20"/>
                <w:lang w:val="fr-FR"/>
              </w:rPr>
              <w:t>ntexte de la nouvelle stratégie</w:t>
            </w:r>
            <w:r w:rsidR="004B4333" w:rsidRPr="00993F31">
              <w:rPr>
                <w:rFonts w:eastAsia="Calibri" w:cs="Times New Roman"/>
                <w:sz w:val="20"/>
                <w:szCs w:val="20"/>
                <w:lang w:val="fr-FR"/>
              </w:rPr>
              <w:t>,</w:t>
            </w:r>
            <w:r w:rsidRPr="00993F31">
              <w:rPr>
                <w:rFonts w:eastAsia="Calibri" w:cs="Times New Roman"/>
                <w:sz w:val="20"/>
                <w:szCs w:val="20"/>
                <w:lang w:val="fr-FR"/>
              </w:rPr>
              <w:t xml:space="preserve"> </w:t>
            </w:r>
            <w:r w:rsidR="00F31472" w:rsidRPr="00993F31">
              <w:rPr>
                <w:rFonts w:eastAsia="Calibri" w:cs="Times New Roman"/>
                <w:sz w:val="20"/>
                <w:szCs w:val="20"/>
                <w:lang w:val="fr-FR"/>
              </w:rPr>
              <w:t>visant à réduire le travail des enfants dans les chaînes de valeur.</w:t>
            </w:r>
          </w:p>
        </w:tc>
      </w:tr>
      <w:tr w:rsidR="00203871" w:rsidRPr="00993F31" w:rsidTr="00CF1A6E">
        <w:tc>
          <w:tcPr>
            <w:tcW w:w="1908" w:type="dxa"/>
            <w:shd w:val="clear" w:color="auto" w:fill="DBE5F1" w:themeFill="accent1" w:themeFillTint="33"/>
          </w:tcPr>
          <w:p w:rsidR="00203871" w:rsidRPr="00993F31" w:rsidRDefault="001E7A52" w:rsidP="00C147AF">
            <w:pPr>
              <w:tabs>
                <w:tab w:val="left" w:pos="3960"/>
              </w:tabs>
              <w:spacing w:line="240" w:lineRule="auto"/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</w:pPr>
            <w:r w:rsidRPr="00993F31"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  <w:t>Dé</w:t>
            </w:r>
            <w:r w:rsidR="00203871" w:rsidRPr="00993F31"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  <w:t>finition</w:t>
            </w:r>
          </w:p>
        </w:tc>
        <w:tc>
          <w:tcPr>
            <w:tcW w:w="7272" w:type="dxa"/>
            <w:shd w:val="clear" w:color="auto" w:fill="FFFFFF" w:themeFill="background1"/>
          </w:tcPr>
          <w:p w:rsidR="00773769" w:rsidRPr="00993F31" w:rsidRDefault="00773769" w:rsidP="00773769">
            <w:pPr>
              <w:pStyle w:val="Paragraphedeliste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rPr>
                <w:rFonts w:cs="GillSansMT-Italic"/>
                <w:iCs/>
                <w:sz w:val="20"/>
                <w:szCs w:val="20"/>
                <w:lang w:val="fr-FR"/>
              </w:rPr>
            </w:pPr>
            <w:r w:rsidRPr="00993F31">
              <w:rPr>
                <w:rFonts w:cs="GillSansMT-Italic"/>
                <w:b/>
                <w:iCs/>
                <w:sz w:val="20"/>
                <w:szCs w:val="20"/>
                <w:lang w:val="fr-FR"/>
              </w:rPr>
              <w:t>Mise en œuvre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: Mettre en œuvre </w:t>
            </w:r>
            <w:r w:rsidR="004B4333" w:rsidRPr="00993F31">
              <w:rPr>
                <w:rFonts w:cs="GillSansMT-Italic"/>
                <w:iCs/>
                <w:sz w:val="20"/>
                <w:szCs w:val="20"/>
                <w:lang w:val="fr-FR"/>
              </w:rPr>
              <w:t>le guide et les outils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à tous</w:t>
            </w:r>
            <w:r w:rsidR="004B4333"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les niveaux de l'organisation 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>implique un changement de mentalité - u</w:t>
            </w:r>
            <w:r w:rsidR="003F6304"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n changement de culture et 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>de perception - au sein de l'</w:t>
            </w:r>
            <w:r w:rsidR="004B4333" w:rsidRPr="00993F31">
              <w:rPr>
                <w:rFonts w:cs="GillSansMT-Italic"/>
                <w:iCs/>
                <w:sz w:val="20"/>
                <w:szCs w:val="20"/>
                <w:lang w:val="fr-FR"/>
              </w:rPr>
              <w:t>institution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</w:t>
            </w:r>
            <w:r w:rsidR="003F6304" w:rsidRPr="00993F31">
              <w:rPr>
                <w:rFonts w:cs="GillSansMT-Italic"/>
                <w:iCs/>
                <w:sz w:val="20"/>
                <w:szCs w:val="20"/>
                <w:lang w:val="fr-FR"/>
              </w:rPr>
              <w:t>en ce qui concerne la collaboration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avec les acteurs du secteur privé pour permettre </w:t>
            </w:r>
            <w:r w:rsidR="003F6304"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à tous les membres du personnel de </w:t>
            </w:r>
            <w:proofErr w:type="spellStart"/>
            <w:r w:rsidR="003F6304" w:rsidRPr="00993F31">
              <w:rPr>
                <w:rFonts w:cs="GillSansMT-Italic"/>
                <w:iCs/>
                <w:sz w:val="20"/>
                <w:szCs w:val="20"/>
                <w:lang w:val="fr-FR"/>
              </w:rPr>
              <w:t>Tdh</w:t>
            </w:r>
            <w:proofErr w:type="spellEnd"/>
            <w:r w:rsidR="003F6304"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de s’approprier 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la nouvelle stratégie. Une mise en œuvre réussie </w:t>
            </w:r>
            <w:r w:rsidR="004B4333" w:rsidRPr="00993F31">
              <w:rPr>
                <w:rFonts w:cs="GillSansMT-Italic"/>
                <w:iCs/>
                <w:sz w:val="20"/>
                <w:szCs w:val="20"/>
                <w:lang w:val="fr-FR"/>
              </w:rPr>
              <w:t>du guide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et des outils </w:t>
            </w:r>
            <w:r w:rsidR="00702743"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ne 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sera </w:t>
            </w:r>
            <w:r w:rsidR="004B4333"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notamment 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>réalisée</w:t>
            </w:r>
            <w:r w:rsidR="003F6304"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que si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</w:t>
            </w:r>
            <w:r w:rsidR="003F6304" w:rsidRPr="00993F31">
              <w:rPr>
                <w:rFonts w:cs="GillSansMT-Italic"/>
                <w:iCs/>
                <w:sz w:val="20"/>
                <w:szCs w:val="20"/>
                <w:lang w:val="fr-FR"/>
              </w:rPr>
              <w:t>tous les membres du personnel participent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active</w:t>
            </w:r>
            <w:r w:rsidR="003F6304" w:rsidRPr="00993F31">
              <w:rPr>
                <w:rFonts w:cs="GillSansMT-Italic"/>
                <w:iCs/>
                <w:sz w:val="20"/>
                <w:szCs w:val="20"/>
                <w:lang w:val="fr-FR"/>
              </w:rPr>
              <w:t>ment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</w:t>
            </w:r>
            <w:r w:rsidR="003F6304" w:rsidRPr="00993F31">
              <w:rPr>
                <w:rFonts w:cs="GillSansMT-Italic"/>
                <w:iCs/>
                <w:sz w:val="20"/>
                <w:szCs w:val="20"/>
                <w:lang w:val="fr-FR"/>
              </w:rPr>
              <w:t>à la mise à jour du document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>.</w:t>
            </w:r>
          </w:p>
          <w:p w:rsidR="00773769" w:rsidRPr="00993F31" w:rsidRDefault="004B4333" w:rsidP="00773769">
            <w:pPr>
              <w:pStyle w:val="Paragraphedeliste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rPr>
                <w:rFonts w:cs="GillSansMT-Italic"/>
                <w:iCs/>
                <w:sz w:val="20"/>
                <w:szCs w:val="20"/>
                <w:lang w:val="fr-FR"/>
              </w:rPr>
            </w:pPr>
            <w:r w:rsidRPr="00993F31">
              <w:rPr>
                <w:rFonts w:cs="GillSansMT-Italic"/>
                <w:b/>
                <w:iCs/>
                <w:sz w:val="20"/>
                <w:szCs w:val="20"/>
                <w:lang w:val="fr-FR"/>
              </w:rPr>
              <w:t>Le guide</w:t>
            </w:r>
            <w:r w:rsidR="00702743" w:rsidRPr="00993F31">
              <w:rPr>
                <w:rFonts w:cs="GillSansMT-Italic"/>
                <w:b/>
                <w:iCs/>
                <w:sz w:val="20"/>
                <w:szCs w:val="20"/>
                <w:lang w:val="fr-FR"/>
              </w:rPr>
              <w:t xml:space="preserve"> et</w:t>
            </w:r>
            <w:r w:rsidR="00773769" w:rsidRPr="00993F31">
              <w:rPr>
                <w:rFonts w:cs="GillSansMT-Italic"/>
                <w:b/>
                <w:iCs/>
                <w:sz w:val="20"/>
                <w:szCs w:val="20"/>
                <w:lang w:val="fr-FR"/>
              </w:rPr>
              <w:t xml:space="preserve"> </w:t>
            </w:r>
            <w:r w:rsidRPr="00993F31">
              <w:rPr>
                <w:rFonts w:cs="GillSansMT-Italic"/>
                <w:b/>
                <w:iCs/>
                <w:sz w:val="20"/>
                <w:szCs w:val="20"/>
                <w:lang w:val="fr-FR"/>
              </w:rPr>
              <w:t xml:space="preserve">les </w:t>
            </w:r>
            <w:r w:rsidR="004C610C" w:rsidRPr="00993F31">
              <w:rPr>
                <w:rFonts w:cs="GillSansMT-Italic"/>
                <w:b/>
                <w:iCs/>
                <w:sz w:val="20"/>
                <w:szCs w:val="20"/>
                <w:lang w:val="fr-FR"/>
              </w:rPr>
              <w:t xml:space="preserve">outils </w:t>
            </w:r>
            <w:r w:rsidRPr="00993F31">
              <w:rPr>
                <w:rFonts w:cs="GillSansMT-Italic"/>
                <w:b/>
                <w:iCs/>
                <w:sz w:val="20"/>
                <w:szCs w:val="20"/>
                <w:lang w:val="fr-FR"/>
              </w:rPr>
              <w:t>de</w:t>
            </w:r>
            <w:r w:rsidR="004C610C" w:rsidRPr="00993F31">
              <w:rPr>
                <w:rFonts w:cs="GillSansMT-Italic"/>
                <w:b/>
                <w:iCs/>
                <w:sz w:val="20"/>
                <w:szCs w:val="20"/>
                <w:lang w:val="fr-FR"/>
              </w:rPr>
              <w:t xml:space="preserve"> collaboration avec l</w:t>
            </w:r>
            <w:r w:rsidR="00773769" w:rsidRPr="00993F31">
              <w:rPr>
                <w:rFonts w:cs="GillSansMT-Italic"/>
                <w:b/>
                <w:iCs/>
                <w:sz w:val="20"/>
                <w:szCs w:val="20"/>
                <w:lang w:val="fr-FR"/>
              </w:rPr>
              <w:t>es entreprises</w:t>
            </w:r>
            <w:r w:rsidR="00773769"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: Il s'agit d'un ensemble de lignes directrices pré</w:t>
            </w:r>
            <w:r w:rsidR="004C610C" w:rsidRPr="00993F31">
              <w:rPr>
                <w:rFonts w:cs="GillSansMT-Italic"/>
                <w:iCs/>
                <w:sz w:val="20"/>
                <w:szCs w:val="20"/>
                <w:lang w:val="fr-FR"/>
              </w:rPr>
              <w:t>sentan</w:t>
            </w:r>
            <w:r w:rsidR="00702743"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t l'approche de </w:t>
            </w:r>
            <w:proofErr w:type="spellStart"/>
            <w:r w:rsidR="00702743" w:rsidRPr="00993F31">
              <w:rPr>
                <w:rFonts w:cs="GillSansMT-Italic"/>
                <w:iCs/>
                <w:sz w:val="20"/>
                <w:szCs w:val="20"/>
                <w:lang w:val="fr-FR"/>
              </w:rPr>
              <w:t>Tdh</w:t>
            </w:r>
            <w:proofErr w:type="spellEnd"/>
            <w:r w:rsidR="00702743"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dans</w:t>
            </w:r>
            <w:r w:rsidR="004C610C"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s</w:t>
            </w:r>
            <w:r w:rsidR="00773769"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es partenariats avec le secteur privé, la valeur ajoutée de </w:t>
            </w:r>
            <w:proofErr w:type="spellStart"/>
            <w:r w:rsidR="00773769" w:rsidRPr="00993F31">
              <w:rPr>
                <w:rFonts w:cs="GillSansMT-Italic"/>
                <w:iCs/>
                <w:sz w:val="20"/>
                <w:szCs w:val="20"/>
                <w:lang w:val="fr-FR"/>
              </w:rPr>
              <w:t>Tdh</w:t>
            </w:r>
            <w:proofErr w:type="spellEnd"/>
            <w:r w:rsidR="00773769"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et le processus </w:t>
            </w:r>
            <w:r w:rsidR="00A51F8D"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pour établir </w:t>
            </w:r>
            <w:r w:rsidR="00830E55" w:rsidRPr="00993F31">
              <w:rPr>
                <w:rFonts w:cs="GillSansMT-Italic"/>
                <w:iCs/>
                <w:sz w:val="20"/>
                <w:szCs w:val="20"/>
                <w:lang w:val="fr-FR"/>
              </w:rPr>
              <w:t>un partenariat. Il</w:t>
            </w:r>
            <w:r w:rsidR="00773769"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s'appuie sur des outils et des fiches de conseils </w:t>
            </w:r>
            <w:r w:rsidR="00A51F8D" w:rsidRPr="00993F31">
              <w:rPr>
                <w:rFonts w:cs="GillSansMT-Italic"/>
                <w:iCs/>
                <w:sz w:val="20"/>
                <w:szCs w:val="20"/>
                <w:lang w:val="fr-FR"/>
              </w:rPr>
              <w:t>afin de</w:t>
            </w:r>
            <w:r w:rsidR="00773769"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guider le personnel de </w:t>
            </w:r>
            <w:proofErr w:type="spellStart"/>
            <w:r w:rsidR="00773769" w:rsidRPr="00993F31">
              <w:rPr>
                <w:rFonts w:cs="GillSansMT-Italic"/>
                <w:iCs/>
                <w:sz w:val="20"/>
                <w:szCs w:val="20"/>
                <w:lang w:val="fr-FR"/>
              </w:rPr>
              <w:t>Tdh</w:t>
            </w:r>
            <w:proofErr w:type="spellEnd"/>
            <w:r w:rsidR="00773769"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à </w:t>
            </w:r>
            <w:r w:rsidR="00702743"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travers </w:t>
            </w:r>
            <w:r w:rsidR="00773769" w:rsidRPr="00993F31">
              <w:rPr>
                <w:rFonts w:cs="GillSansMT-Italic"/>
                <w:iCs/>
                <w:sz w:val="20"/>
                <w:szCs w:val="20"/>
                <w:lang w:val="fr-FR"/>
              </w:rPr>
              <w:t>tout</w:t>
            </w:r>
            <w:r w:rsidR="00830E55" w:rsidRPr="00993F31">
              <w:rPr>
                <w:rFonts w:cs="GillSansMT-Italic"/>
                <w:iCs/>
                <w:sz w:val="20"/>
                <w:szCs w:val="20"/>
                <w:lang w:val="fr-FR"/>
              </w:rPr>
              <w:t>es les étapes de la collaboration</w:t>
            </w:r>
            <w:r w:rsidR="00702743"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avec</w:t>
            </w:r>
            <w:r w:rsidR="00773769"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</w:t>
            </w:r>
            <w:r w:rsidR="00830E55"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le </w:t>
            </w:r>
            <w:r w:rsidR="00773769"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secteur privé. L'objectif est d'aider à mieux reconnaître les </w:t>
            </w:r>
            <w:r w:rsidR="00A51F8D" w:rsidRPr="00993F31">
              <w:rPr>
                <w:rFonts w:cs="GillSansMT-Italic"/>
                <w:iCs/>
                <w:sz w:val="20"/>
                <w:szCs w:val="20"/>
                <w:lang w:val="fr-FR"/>
              </w:rPr>
              <w:t>opportunités liées</w:t>
            </w:r>
            <w:r w:rsidR="00773769"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du secteur privé et à s'y préparer, à améliorer la qualité de la conception de </w:t>
            </w:r>
            <w:r w:rsidR="00A51F8D" w:rsidRPr="00993F31">
              <w:rPr>
                <w:rFonts w:cs="GillSansMT-Italic"/>
                <w:iCs/>
                <w:sz w:val="20"/>
                <w:szCs w:val="20"/>
                <w:lang w:val="fr-FR"/>
              </w:rPr>
              <w:t>tels partenariats</w:t>
            </w:r>
            <w:r w:rsidR="00773769"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et à prendre de meilleures décisions quant au moment e</w:t>
            </w:r>
            <w:r w:rsidR="00C45981" w:rsidRPr="00993F31">
              <w:rPr>
                <w:rFonts w:cs="GillSansMT-Italic"/>
                <w:iCs/>
                <w:sz w:val="20"/>
                <w:szCs w:val="20"/>
                <w:lang w:val="fr-FR"/>
              </w:rPr>
              <w:t>t à la façon de faire appel aux</w:t>
            </w:r>
            <w:r w:rsidR="00773769"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partenaires du secteur privé.</w:t>
            </w:r>
          </w:p>
          <w:p w:rsidR="00773769" w:rsidRPr="00993F31" w:rsidRDefault="00773769" w:rsidP="00773769">
            <w:pPr>
              <w:pStyle w:val="Paragraphedeliste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rPr>
                <w:rFonts w:cs="GillSansMT-Italic"/>
                <w:iCs/>
                <w:sz w:val="20"/>
                <w:szCs w:val="20"/>
                <w:lang w:val="fr-FR"/>
              </w:rPr>
            </w:pPr>
            <w:r w:rsidRPr="00993F31">
              <w:rPr>
                <w:rFonts w:cs="GillSansMT-Italic"/>
                <w:b/>
                <w:iCs/>
                <w:sz w:val="20"/>
                <w:szCs w:val="20"/>
                <w:lang w:val="fr-FR"/>
              </w:rPr>
              <w:t>Nouvelle stratégie d'intervention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: </w:t>
            </w:r>
            <w:r w:rsidR="00C45981"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La </w:t>
            </w:r>
            <w:r w:rsidR="009D501E" w:rsidRPr="00993F31">
              <w:rPr>
                <w:rFonts w:cs="GillSansMT-Italic"/>
                <w:iCs/>
                <w:sz w:val="20"/>
                <w:szCs w:val="20"/>
                <w:lang w:val="fr-FR"/>
              </w:rPr>
              <w:t>V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>ision 2030</w:t>
            </w:r>
            <w:r w:rsidR="00C45981"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et le Plan stratégique 2016-2020 </w:t>
            </w:r>
            <w:r w:rsidR="00C45981"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de </w:t>
            </w:r>
            <w:proofErr w:type="spellStart"/>
            <w:r w:rsidR="00C45981" w:rsidRPr="00993F31">
              <w:rPr>
                <w:rFonts w:cs="GillSansMT-Italic"/>
                <w:iCs/>
                <w:sz w:val="20"/>
                <w:szCs w:val="20"/>
                <w:lang w:val="fr-FR"/>
              </w:rPr>
              <w:t>Tdh</w:t>
            </w:r>
            <w:proofErr w:type="spellEnd"/>
            <w:r w:rsidR="00C45981"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reconnaissent que l'engagement avec le secteur privé ne peut plus être évité et </w:t>
            </w:r>
            <w:r w:rsidR="000576F7" w:rsidRPr="00993F31">
              <w:rPr>
                <w:rFonts w:cs="GillSansMT-Italic"/>
                <w:iCs/>
                <w:sz w:val="20"/>
                <w:szCs w:val="20"/>
                <w:lang w:val="fr-FR"/>
              </w:rPr>
              <w:t>que s’il est réalisé sous certaines conditions,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</w:t>
            </w:r>
            <w:r w:rsidR="00C45981"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il 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peut offrir de nombreux avantages stratégiques à </w:t>
            </w:r>
            <w:proofErr w:type="spellStart"/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>Tdh</w:t>
            </w:r>
            <w:proofErr w:type="spellEnd"/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>Tdh</w:t>
            </w:r>
            <w:proofErr w:type="spellEnd"/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estime que le moyen le plus efficace d'atteindre</w:t>
            </w:r>
            <w:r w:rsidR="00C45981"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ses objectifs stratégiques au niveau de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son programme contre le tra</w:t>
            </w:r>
            <w:r w:rsidR="00C45981"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vail des enfants est de s’associer au 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>secteur privé. Avec l'aide d'ONG, de gouvernements et d'autres parties prenantes, les entreprises ont le po</w:t>
            </w:r>
            <w:r w:rsidR="00555BD1"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uvoir </w:t>
            </w:r>
            <w:r w:rsidR="000576F7" w:rsidRPr="00993F31">
              <w:rPr>
                <w:rFonts w:cs="GillSansMT-Italic"/>
                <w:iCs/>
                <w:sz w:val="20"/>
                <w:szCs w:val="20"/>
                <w:lang w:val="fr-FR"/>
              </w:rPr>
              <w:t>de produire</w:t>
            </w:r>
            <w:r w:rsidR="00555BD1"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de véritables changements sur d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es problèmes sociaux </w:t>
            </w:r>
            <w:r w:rsidR="000576F7" w:rsidRPr="00993F31">
              <w:rPr>
                <w:rFonts w:cs="GillSansMT-Italic"/>
                <w:iCs/>
                <w:sz w:val="20"/>
                <w:szCs w:val="20"/>
                <w:lang w:val="fr-FR"/>
              </w:rPr>
              <w:t>clés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>.</w:t>
            </w:r>
          </w:p>
          <w:p w:rsidR="004427D2" w:rsidRPr="00993F31" w:rsidRDefault="00773769" w:rsidP="00C007B8">
            <w:pPr>
              <w:pStyle w:val="Paragraphedeliste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rPr>
                <w:rFonts w:cs="GillSansMT-Italic"/>
                <w:iCs/>
                <w:sz w:val="20"/>
                <w:szCs w:val="20"/>
                <w:lang w:val="fr-FR"/>
              </w:rPr>
            </w:pPr>
            <w:r w:rsidRPr="00993F31">
              <w:rPr>
                <w:rFonts w:cs="GillSansMT-Italic"/>
                <w:b/>
                <w:iCs/>
                <w:sz w:val="20"/>
                <w:szCs w:val="20"/>
                <w:lang w:val="fr-FR"/>
              </w:rPr>
              <w:t>Le travail des enfants dans la chaîne de valeur</w:t>
            </w:r>
            <w:r w:rsidR="00555BD1" w:rsidRPr="00993F31">
              <w:rPr>
                <w:rFonts w:cs="GillSansMT-Italic"/>
                <w:b/>
                <w:iCs/>
                <w:sz w:val="20"/>
                <w:szCs w:val="20"/>
                <w:lang w:val="fr-FR"/>
              </w:rPr>
              <w:t xml:space="preserve"> </w:t>
            </w:r>
            <w:r w:rsidRPr="00993F31">
              <w:rPr>
                <w:rFonts w:cs="GillSansMT-Italic"/>
                <w:b/>
                <w:iCs/>
                <w:sz w:val="20"/>
                <w:szCs w:val="20"/>
                <w:lang w:val="fr-FR"/>
              </w:rPr>
              <w:t>: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</w:t>
            </w:r>
            <w:r w:rsidR="00C007B8" w:rsidRPr="00993F31">
              <w:rPr>
                <w:rFonts w:cs="GillSansMT-Italic"/>
                <w:iCs/>
                <w:sz w:val="20"/>
                <w:szCs w:val="20"/>
                <w:lang w:val="fr-FR"/>
              </w:rPr>
              <w:t>U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>ne chaîne de valeur décrit le processus par lequel les entreprises reçoivent des matières premières, ajoute</w:t>
            </w:r>
            <w:r w:rsidR="000576F7" w:rsidRPr="00993F31">
              <w:rPr>
                <w:rFonts w:cs="GillSansMT-Italic"/>
                <w:iCs/>
                <w:sz w:val="20"/>
                <w:szCs w:val="20"/>
                <w:lang w:val="fr-FR"/>
              </w:rPr>
              <w:t>nt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de la valeur aux matières premières</w:t>
            </w:r>
            <w:r w:rsidR="00555BD1"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à travers chaque étape du processus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pour</w:t>
            </w:r>
            <w:r w:rsidR="00555BD1"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créer un produit fini et réduire les coûts, avant de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vend</w:t>
            </w:r>
            <w:r w:rsidR="00555BD1" w:rsidRPr="00993F31">
              <w:rPr>
                <w:rFonts w:cs="GillSansMT-Italic"/>
                <w:iCs/>
                <w:sz w:val="20"/>
                <w:szCs w:val="20"/>
                <w:lang w:val="fr-FR"/>
              </w:rPr>
              <w:t>re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le produit fini. Pour de nombreuses grandes entreprises, le risque de travail des enfants dans leurs propres installations ou opératio</w:t>
            </w:r>
            <w:r w:rsidR="00555BD1"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ns peut être </w:t>
            </w:r>
            <w:r w:rsidR="000576F7" w:rsidRPr="00993F31">
              <w:rPr>
                <w:rFonts w:cs="GillSansMT-Italic"/>
                <w:iCs/>
                <w:sz w:val="20"/>
                <w:szCs w:val="20"/>
                <w:lang w:val="fr-FR"/>
              </w:rPr>
              <w:t>limité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. Toutefois, </w:t>
            </w:r>
            <w:r w:rsidR="00C007B8" w:rsidRPr="00993F31">
              <w:rPr>
                <w:rFonts w:cs="GillSansMT-Italic"/>
                <w:iCs/>
                <w:sz w:val="20"/>
                <w:szCs w:val="20"/>
                <w:lang w:val="fr-FR"/>
              </w:rPr>
              <w:t>le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travail des enfants, </w:t>
            </w:r>
            <w:r w:rsidR="00C007B8" w:rsidRPr="00993F31">
              <w:rPr>
                <w:rFonts w:cs="GillSansMT-Italic"/>
                <w:iCs/>
                <w:sz w:val="20"/>
                <w:szCs w:val="20"/>
                <w:lang w:val="fr-FR"/>
              </w:rPr>
              <w:t>et notamment sous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</w:t>
            </w:r>
            <w:r w:rsidR="00C007B8" w:rsidRPr="00993F31">
              <w:rPr>
                <w:rFonts w:cs="GillSansMT-Italic"/>
                <w:iCs/>
                <w:sz w:val="20"/>
                <w:szCs w:val="20"/>
                <w:lang w:val="fr-FR"/>
              </w:rPr>
              <w:t>s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es pires formes, </w:t>
            </w:r>
            <w:r w:rsidR="00C007B8" w:rsidRPr="00993F31">
              <w:rPr>
                <w:rFonts w:cs="GillSansMT-Italic"/>
                <w:iCs/>
                <w:sz w:val="20"/>
                <w:szCs w:val="20"/>
                <w:lang w:val="fr-FR"/>
              </w:rPr>
              <w:t>est présent dans de nombreuses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chaîne</w:t>
            </w:r>
            <w:r w:rsidR="00C007B8" w:rsidRPr="00993F31">
              <w:rPr>
                <w:rFonts w:cs="GillSansMT-Italic"/>
                <w:iCs/>
                <w:sz w:val="20"/>
                <w:szCs w:val="20"/>
                <w:lang w:val="fr-FR"/>
              </w:rPr>
              <w:t>s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</w:t>
            </w:r>
            <w:r w:rsidR="00C007B8" w:rsidRPr="00993F31">
              <w:rPr>
                <w:rFonts w:cs="GillSansMT-Italic"/>
                <w:iCs/>
                <w:sz w:val="20"/>
                <w:szCs w:val="20"/>
                <w:lang w:val="fr-FR"/>
              </w:rPr>
              <w:t>de valeur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, </w:t>
            </w:r>
            <w:r w:rsidR="00C007B8" w:rsidRPr="00993F31">
              <w:rPr>
                <w:rFonts w:cs="GillSansMT-Italic"/>
                <w:iCs/>
                <w:sz w:val="20"/>
                <w:szCs w:val="20"/>
                <w:lang w:val="fr-FR"/>
              </w:rPr>
              <w:t>au niveau des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fournisseurs, </w:t>
            </w:r>
            <w:r w:rsidR="00C007B8" w:rsidRPr="00993F31">
              <w:rPr>
                <w:rFonts w:cs="GillSansMT-Italic"/>
                <w:iCs/>
                <w:sz w:val="20"/>
                <w:szCs w:val="20"/>
                <w:lang w:val="fr-FR"/>
              </w:rPr>
              <w:t>d</w:t>
            </w:r>
            <w:r w:rsidR="00555BD1"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es 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sous-traitants, </w:t>
            </w:r>
            <w:r w:rsidR="00555BD1"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des 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communautés locales </w:t>
            </w:r>
            <w:r w:rsidR="00C007B8" w:rsidRPr="00993F31">
              <w:rPr>
                <w:rFonts w:cs="GillSansMT-Italic"/>
                <w:iCs/>
                <w:sz w:val="20"/>
                <w:szCs w:val="20"/>
                <w:lang w:val="fr-FR"/>
              </w:rPr>
              <w:t>impactées par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certains types d'opérations </w:t>
            </w:r>
            <w:r w:rsidR="00555BD1" w:rsidRPr="00993F31">
              <w:rPr>
                <w:rFonts w:cs="GillSansMT-Italic"/>
                <w:iCs/>
                <w:sz w:val="20"/>
                <w:szCs w:val="20"/>
                <w:lang w:val="fr-FR"/>
              </w:rPr>
              <w:t>des entreprises, ainsi que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</w:t>
            </w:r>
            <w:r w:rsidR="00C007B8"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des 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>familles</w:t>
            </w:r>
            <w:r w:rsidR="00555BD1"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travaillant </w:t>
            </w:r>
            <w:r w:rsidR="00BA36DA" w:rsidRPr="00993F31">
              <w:rPr>
                <w:rFonts w:cs="GillSansMT-Italic"/>
                <w:iCs/>
                <w:sz w:val="20"/>
                <w:szCs w:val="20"/>
                <w:lang w:val="fr-FR"/>
              </w:rPr>
              <w:t>au sein de leur chaine d’approvisionnement.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Bien que les entreprises puissent ne pas avoir de relations contractuelles ou commerciales directes avec les entités à l'origine du travail des enfants, elles peuvent être liées </w:t>
            </w:r>
            <w:r w:rsidR="00C007B8" w:rsidRPr="00993F31">
              <w:rPr>
                <w:rFonts w:cs="GillSansMT-Italic"/>
                <w:iCs/>
                <w:sz w:val="20"/>
                <w:szCs w:val="20"/>
                <w:lang w:val="fr-FR"/>
              </w:rPr>
              <w:t>à leurs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opération</w:t>
            </w:r>
            <w:r w:rsidR="00C007B8" w:rsidRPr="00993F31">
              <w:rPr>
                <w:rFonts w:cs="GillSansMT-Italic"/>
                <w:iCs/>
                <w:sz w:val="20"/>
                <w:szCs w:val="20"/>
                <w:lang w:val="fr-FR"/>
              </w:rPr>
              <w:t>s, leurs produits ou leurs services</w:t>
            </w:r>
            <w:r w:rsidR="00BA36DA"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. </w:t>
            </w:r>
            <w:r w:rsidR="00C007B8"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="00BA36DA" w:rsidRPr="00993F31">
              <w:rPr>
                <w:rFonts w:cs="GillSansMT-Italic"/>
                <w:iCs/>
                <w:sz w:val="20"/>
                <w:szCs w:val="20"/>
                <w:lang w:val="fr-FR"/>
              </w:rPr>
              <w:t>Tdh</w:t>
            </w:r>
            <w:proofErr w:type="spellEnd"/>
            <w:r w:rsidR="00BA36DA"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a l'intention, en partenariat avec les grandes entreprises, de s’attaquer au problème du</w:t>
            </w:r>
            <w:r w:rsidRPr="00993F31">
              <w:rPr>
                <w:rFonts w:cs="GillSansMT-Italic"/>
                <w:iCs/>
                <w:sz w:val="20"/>
                <w:szCs w:val="20"/>
                <w:lang w:val="fr-FR"/>
              </w:rPr>
              <w:t xml:space="preserve"> travail des enfants dans les chaînes de valeur et dans les communautés environnantes.</w:t>
            </w:r>
          </w:p>
        </w:tc>
      </w:tr>
      <w:tr w:rsidR="00203871" w:rsidRPr="00993F31" w:rsidTr="00CF1A6E">
        <w:tc>
          <w:tcPr>
            <w:tcW w:w="1908" w:type="dxa"/>
            <w:shd w:val="clear" w:color="auto" w:fill="DBE5F1" w:themeFill="accent1" w:themeFillTint="33"/>
          </w:tcPr>
          <w:p w:rsidR="00203871" w:rsidRPr="00993F31" w:rsidRDefault="00CF1A6E" w:rsidP="00C147AF">
            <w:pPr>
              <w:tabs>
                <w:tab w:val="left" w:pos="3960"/>
              </w:tabs>
              <w:spacing w:line="240" w:lineRule="auto"/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</w:pPr>
            <w:r w:rsidRPr="00993F31"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  <w:lastRenderedPageBreak/>
              <w:t>Que mesure</w:t>
            </w:r>
            <w:r w:rsidR="001E7A52" w:rsidRPr="00993F31"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  <w:t xml:space="preserve"> </w:t>
            </w:r>
            <w:r w:rsidRPr="00993F31"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  <w:t xml:space="preserve">exactement </w:t>
            </w:r>
            <w:r w:rsidR="001E7A52" w:rsidRPr="00993F31"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  <w:t>l'indicateur</w:t>
            </w:r>
            <w:r w:rsidRPr="00993F31"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  <w:t xml:space="preserve"> </w:t>
            </w:r>
            <w:r w:rsidR="001E7A52" w:rsidRPr="00993F31"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  <w:t>?</w:t>
            </w:r>
            <w:r w:rsidR="00203871" w:rsidRPr="00993F31"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  <w:t xml:space="preserve"> </w:t>
            </w:r>
          </w:p>
          <w:p w:rsidR="00DC14D6" w:rsidRPr="00993F31" w:rsidRDefault="00DC14D6" w:rsidP="00C147AF">
            <w:pPr>
              <w:tabs>
                <w:tab w:val="left" w:pos="3960"/>
              </w:tabs>
              <w:spacing w:line="240" w:lineRule="auto"/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</w:pPr>
            <w:r w:rsidRPr="00993F31">
              <w:rPr>
                <w:rFonts w:ascii="Arial" w:hAnsi="Arial" w:cs="Arial"/>
                <w:noProof/>
                <w:szCs w:val="18"/>
                <w:lang w:val="en-US"/>
              </w:rPr>
              <w:drawing>
                <wp:inline distT="0" distB="0" distL="0" distR="0" wp14:anchorId="4C1A876B" wp14:editId="30CA0277">
                  <wp:extent cx="496800" cy="496800"/>
                  <wp:effectExtent l="0" t="0" r="0" b="0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DG 08 Decent work and economic growth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800" cy="49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2" w:type="dxa"/>
            <w:shd w:val="clear" w:color="auto" w:fill="FFFFFF" w:themeFill="background1"/>
          </w:tcPr>
          <w:p w:rsidR="00BA36DA" w:rsidRPr="00993F31" w:rsidRDefault="00BA36DA" w:rsidP="00BA36DA">
            <w:pPr>
              <w:spacing w:line="240" w:lineRule="auto"/>
              <w:rPr>
                <w:rFonts w:eastAsiaTheme="minorEastAsia"/>
                <w:sz w:val="20"/>
                <w:szCs w:val="20"/>
                <w:lang w:val="fr-FR" w:eastAsia="fr-CH"/>
              </w:rPr>
            </w:pPr>
            <w:r w:rsidRPr="00993F31">
              <w:rPr>
                <w:rFonts w:eastAsiaTheme="minorEastAsia"/>
                <w:b/>
                <w:sz w:val="20"/>
                <w:szCs w:val="20"/>
                <w:lang w:val="fr-FR" w:eastAsia="fr-CH"/>
              </w:rPr>
              <w:t xml:space="preserve">Intérêt </w:t>
            </w: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: Mesurer le niveau de compréhension et d'appropriation de la nouvelle stratégie de </w:t>
            </w:r>
            <w:proofErr w:type="spellStart"/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>Tdh</w:t>
            </w:r>
            <w:proofErr w:type="spellEnd"/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en ce qui concerne le travail des enfants dans les chaînes de valeur à tous les niveaux de l'organisation (siège, régional, national). Il mesure également la cohérence et la systématisation des p</w:t>
            </w:r>
            <w:r w:rsidR="00953FF4"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ratiques de </w:t>
            </w:r>
            <w:proofErr w:type="spellStart"/>
            <w:r w:rsidR="00953FF4" w:rsidRPr="00993F31">
              <w:rPr>
                <w:rFonts w:eastAsiaTheme="minorEastAsia"/>
                <w:sz w:val="20"/>
                <w:szCs w:val="20"/>
                <w:lang w:val="fr-FR" w:eastAsia="fr-CH"/>
              </w:rPr>
              <w:t>Tdh</w:t>
            </w:r>
            <w:proofErr w:type="spellEnd"/>
            <w:r w:rsidR="00953FF4"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lors de </w:t>
            </w:r>
            <w:r w:rsidR="00993F31" w:rsidRPr="00993F31">
              <w:rPr>
                <w:rFonts w:eastAsiaTheme="minorEastAsia"/>
                <w:sz w:val="20"/>
                <w:szCs w:val="20"/>
                <w:lang w:val="fr-FR" w:eastAsia="fr-CH"/>
              </w:rPr>
              <w:t>la collaboration</w:t>
            </w:r>
            <w:r w:rsidR="00953FF4"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avec </w:t>
            </w: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>le secteur privé.</w:t>
            </w:r>
          </w:p>
          <w:p w:rsidR="004427D2" w:rsidRPr="00993F31" w:rsidRDefault="00BA36DA" w:rsidP="00BA36DA">
            <w:pPr>
              <w:spacing w:line="240" w:lineRule="auto"/>
              <w:rPr>
                <w:rFonts w:eastAsiaTheme="minorEastAsia"/>
                <w:b/>
                <w:sz w:val="20"/>
                <w:szCs w:val="20"/>
                <w:lang w:val="fr-FR" w:eastAsia="fr-CH"/>
              </w:rPr>
            </w:pPr>
            <w:r w:rsidRPr="00993F31">
              <w:rPr>
                <w:rFonts w:eastAsiaTheme="minorEastAsia"/>
                <w:b/>
                <w:sz w:val="20"/>
                <w:szCs w:val="20"/>
                <w:lang w:val="fr-FR" w:eastAsia="fr-CH"/>
              </w:rPr>
              <w:t xml:space="preserve">Limites </w:t>
            </w: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: C'est un indicateur de processus. Il mesure les progrès internes de </w:t>
            </w:r>
            <w:proofErr w:type="spellStart"/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>Tdh</w:t>
            </w:r>
            <w:proofErr w:type="spellEnd"/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. Il ne mesure pas l'impact de la stratégie de </w:t>
            </w:r>
            <w:proofErr w:type="spellStart"/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>Tdh</w:t>
            </w:r>
            <w:proofErr w:type="spellEnd"/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et des activités connexes sur les bénéficiaires.</w:t>
            </w:r>
          </w:p>
        </w:tc>
      </w:tr>
      <w:tr w:rsidR="00203871" w:rsidRPr="00993F31" w:rsidTr="00CF1A6E">
        <w:tc>
          <w:tcPr>
            <w:tcW w:w="1908" w:type="dxa"/>
            <w:shd w:val="clear" w:color="auto" w:fill="DBE5F1" w:themeFill="accent1" w:themeFillTint="33"/>
          </w:tcPr>
          <w:p w:rsidR="00203871" w:rsidRPr="00993F31" w:rsidRDefault="00953FF4" w:rsidP="00C147AF">
            <w:pPr>
              <w:tabs>
                <w:tab w:val="left" w:pos="3960"/>
              </w:tabs>
              <w:spacing w:line="240" w:lineRule="auto"/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</w:pPr>
            <w:r w:rsidRPr="00993F31"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  <w:t>Unité et désagrégation</w:t>
            </w:r>
          </w:p>
        </w:tc>
        <w:tc>
          <w:tcPr>
            <w:tcW w:w="7272" w:type="dxa"/>
            <w:shd w:val="clear" w:color="auto" w:fill="FFFFFF" w:themeFill="background1"/>
          </w:tcPr>
          <w:p w:rsidR="008455F9" w:rsidRPr="00993F31" w:rsidRDefault="00953FF4" w:rsidP="00C147AF">
            <w:pPr>
              <w:spacing w:line="240" w:lineRule="auto"/>
              <w:rPr>
                <w:rFonts w:eastAsiaTheme="minorEastAsia"/>
                <w:sz w:val="20"/>
                <w:szCs w:val="20"/>
                <w:lang w:val="fr-FR" w:eastAsia="fr-CH"/>
              </w:rPr>
            </w:pPr>
            <w:r w:rsidRPr="00993F31">
              <w:rPr>
                <w:rFonts w:eastAsiaTheme="minorEastAsia"/>
                <w:b/>
                <w:sz w:val="20"/>
                <w:szCs w:val="20"/>
                <w:lang w:val="fr-FR" w:eastAsia="fr-CH"/>
              </w:rPr>
              <w:t xml:space="preserve">Unité de mesure </w:t>
            </w:r>
            <w:r w:rsidR="008455F9" w:rsidRPr="00993F31">
              <w:rPr>
                <w:rFonts w:eastAsiaTheme="minorEastAsia"/>
                <w:b/>
                <w:sz w:val="20"/>
                <w:szCs w:val="20"/>
                <w:lang w:val="fr-FR" w:eastAsia="fr-CH"/>
              </w:rPr>
              <w:t>:</w:t>
            </w:r>
            <w:r w:rsidR="004657F4"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</w:t>
            </w:r>
            <w:r w:rsidR="00993F31" w:rsidRPr="00993F31">
              <w:rPr>
                <w:rFonts w:eastAsiaTheme="minorEastAsia"/>
                <w:sz w:val="20"/>
                <w:szCs w:val="20"/>
                <w:lang w:val="fr-FR" w:eastAsia="fr-CH"/>
              </w:rPr>
              <w:t>N</w:t>
            </w: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>iveau de mise en application</w:t>
            </w:r>
          </w:p>
          <w:p w:rsidR="00203871" w:rsidRPr="00993F31" w:rsidRDefault="00632A47" w:rsidP="00993F31">
            <w:pPr>
              <w:spacing w:line="240" w:lineRule="auto"/>
              <w:rPr>
                <w:rFonts w:eastAsiaTheme="minorEastAsia"/>
                <w:sz w:val="20"/>
                <w:szCs w:val="20"/>
                <w:lang w:val="fr-FR" w:eastAsia="fr-CH"/>
              </w:rPr>
            </w:pPr>
            <w:r w:rsidRPr="00993F31">
              <w:rPr>
                <w:rFonts w:eastAsiaTheme="minorEastAsia"/>
                <w:b/>
                <w:sz w:val="20"/>
                <w:szCs w:val="20"/>
                <w:lang w:val="fr-FR" w:eastAsia="fr-CH"/>
              </w:rPr>
              <w:t>Désagrégation</w:t>
            </w:r>
            <w:r w:rsidR="008455F9" w:rsidRPr="00993F31">
              <w:rPr>
                <w:rFonts w:eastAsiaTheme="minorEastAsia"/>
                <w:b/>
                <w:sz w:val="20"/>
                <w:szCs w:val="20"/>
                <w:lang w:val="fr-FR" w:eastAsia="fr-CH"/>
              </w:rPr>
              <w:t>:</w:t>
            </w:r>
            <w:r w:rsidR="008455F9"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</w:t>
            </w:r>
            <w:r w:rsidR="00993F31" w:rsidRPr="00993F31">
              <w:rPr>
                <w:rFonts w:eastAsiaTheme="minorEastAsia"/>
                <w:sz w:val="20"/>
                <w:szCs w:val="20"/>
                <w:lang w:val="fr-FR" w:eastAsia="fr-CH"/>
              </w:rPr>
              <w:t>A</w:t>
            </w:r>
            <w:r w:rsidR="00953FF4" w:rsidRPr="00993F31">
              <w:rPr>
                <w:rFonts w:eastAsiaTheme="minorEastAsia"/>
                <w:sz w:val="20"/>
                <w:szCs w:val="20"/>
                <w:lang w:val="fr-FR" w:eastAsia="fr-CH"/>
              </w:rPr>
              <w:t>ucune</w:t>
            </w:r>
          </w:p>
        </w:tc>
      </w:tr>
      <w:tr w:rsidR="00203871" w:rsidRPr="00993F31" w:rsidTr="00CF1A6E">
        <w:tc>
          <w:tcPr>
            <w:tcW w:w="1908" w:type="dxa"/>
            <w:shd w:val="clear" w:color="auto" w:fill="DBE5F1" w:themeFill="accent1" w:themeFillTint="33"/>
          </w:tcPr>
          <w:p w:rsidR="00203871" w:rsidRPr="00993F31" w:rsidRDefault="00953FF4" w:rsidP="00C147AF">
            <w:pPr>
              <w:tabs>
                <w:tab w:val="left" w:pos="3960"/>
              </w:tabs>
              <w:spacing w:line="240" w:lineRule="auto"/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</w:pPr>
            <w:r w:rsidRPr="00993F31"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  <w:t>Modalités de calcul</w:t>
            </w:r>
            <w:r w:rsidR="00203871" w:rsidRPr="00993F31"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  <w:t xml:space="preserve"> </w:t>
            </w:r>
          </w:p>
        </w:tc>
        <w:tc>
          <w:tcPr>
            <w:tcW w:w="7272" w:type="dxa"/>
            <w:shd w:val="clear" w:color="auto" w:fill="FFFFFF" w:themeFill="background1"/>
          </w:tcPr>
          <w:p w:rsidR="00953FF4" w:rsidRPr="00993F31" w:rsidRDefault="00953FF4" w:rsidP="00953FF4">
            <w:pPr>
              <w:spacing w:line="240" w:lineRule="auto"/>
              <w:rPr>
                <w:rFonts w:eastAsiaTheme="minorEastAsia"/>
                <w:sz w:val="20"/>
                <w:szCs w:val="20"/>
                <w:lang w:val="fr-FR" w:eastAsia="fr-CH"/>
              </w:rPr>
            </w:pP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>Mélange de données quantitatives et qualitatives</w:t>
            </w:r>
            <w:r w:rsidR="00632A47"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</w:t>
            </w: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>:</w:t>
            </w:r>
          </w:p>
          <w:p w:rsidR="00953FF4" w:rsidRDefault="00953FF4" w:rsidP="00953FF4">
            <w:pPr>
              <w:pStyle w:val="Paragraphedeliste"/>
              <w:numPr>
                <w:ilvl w:val="0"/>
                <w:numId w:val="35"/>
              </w:numPr>
              <w:spacing w:line="240" w:lineRule="auto"/>
              <w:rPr>
                <w:rFonts w:eastAsiaTheme="minorEastAsia"/>
                <w:sz w:val="20"/>
                <w:szCs w:val="20"/>
                <w:lang w:val="fr-FR" w:eastAsia="fr-CH"/>
              </w:rPr>
            </w:pP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Total des pays de mise en œuvre, total du personnel formé, total des </w:t>
            </w:r>
            <w:r w:rsidR="00993F31">
              <w:rPr>
                <w:rFonts w:eastAsiaTheme="minorEastAsia"/>
                <w:sz w:val="20"/>
                <w:szCs w:val="20"/>
                <w:lang w:val="fr-FR" w:eastAsia="fr-CH"/>
              </w:rPr>
              <w:t>propositions de projet</w:t>
            </w: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qui prouven</w:t>
            </w:r>
            <w:r w:rsidR="003251D9" w:rsidRPr="00993F31">
              <w:rPr>
                <w:rFonts w:eastAsiaTheme="minorEastAsia"/>
                <w:sz w:val="20"/>
                <w:szCs w:val="20"/>
                <w:lang w:val="fr-FR" w:eastAsia="fr-CH"/>
              </w:rPr>
              <w:t>t l’</w:t>
            </w:r>
            <w:r w:rsidR="0097043F" w:rsidRPr="00993F31">
              <w:rPr>
                <w:rFonts w:eastAsiaTheme="minorEastAsia"/>
                <w:sz w:val="20"/>
                <w:szCs w:val="20"/>
                <w:lang w:val="fr-FR" w:eastAsia="fr-CH"/>
              </w:rPr>
              <w:t>adoption de la bo</w:t>
            </w:r>
            <w:r w:rsidR="007D5330">
              <w:rPr>
                <w:rFonts w:eastAsiaTheme="minorEastAsia"/>
                <w:sz w:val="20"/>
                <w:szCs w:val="20"/>
                <w:lang w:val="fr-FR" w:eastAsia="fr-CH"/>
              </w:rPr>
              <w:t>î</w:t>
            </w:r>
            <w:r w:rsidR="0097043F" w:rsidRPr="00993F31">
              <w:rPr>
                <w:rFonts w:eastAsiaTheme="minorEastAsia"/>
                <w:sz w:val="20"/>
                <w:szCs w:val="20"/>
                <w:lang w:val="fr-FR" w:eastAsia="fr-CH"/>
              </w:rPr>
              <w:t>te</w:t>
            </w:r>
            <w:r w:rsidR="003251D9"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à</w:t>
            </w:r>
            <w:r w:rsidR="00632A47"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outils</w:t>
            </w:r>
          </w:p>
          <w:p w:rsidR="00993F31" w:rsidRPr="00993F31" w:rsidRDefault="00993F31" w:rsidP="00993F31">
            <w:pPr>
              <w:pStyle w:val="Paragraphedeliste"/>
              <w:spacing w:line="240" w:lineRule="auto"/>
              <w:rPr>
                <w:rFonts w:eastAsiaTheme="minorEastAsia"/>
                <w:sz w:val="20"/>
                <w:szCs w:val="20"/>
                <w:lang w:val="fr-FR" w:eastAsia="fr-CH"/>
              </w:rPr>
            </w:pPr>
          </w:p>
          <w:p w:rsidR="00953FF4" w:rsidRPr="00993F31" w:rsidRDefault="00953FF4" w:rsidP="00632A47">
            <w:pPr>
              <w:pStyle w:val="Paragraphedeliste"/>
              <w:numPr>
                <w:ilvl w:val="0"/>
                <w:numId w:val="35"/>
              </w:numPr>
              <w:spacing w:line="240" w:lineRule="auto"/>
              <w:rPr>
                <w:rFonts w:eastAsiaTheme="minorEastAsia"/>
                <w:sz w:val="20"/>
                <w:szCs w:val="20"/>
                <w:lang w:val="fr-FR" w:eastAsia="fr-CH"/>
              </w:rPr>
            </w:pP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>Réalisation ou non des étapes suivantes</w:t>
            </w:r>
            <w:r w:rsidR="00632A47"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</w:t>
            </w: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>:</w:t>
            </w:r>
          </w:p>
          <w:p w:rsidR="00953FF4" w:rsidRPr="00993F31" w:rsidRDefault="00953FF4" w:rsidP="00953FF4">
            <w:pPr>
              <w:spacing w:line="240" w:lineRule="auto"/>
              <w:ind w:left="708"/>
              <w:rPr>
                <w:rFonts w:eastAsiaTheme="minorEastAsia"/>
                <w:sz w:val="20"/>
                <w:szCs w:val="20"/>
                <w:lang w:val="fr-FR" w:eastAsia="fr-CH"/>
              </w:rPr>
            </w:pPr>
            <w:r w:rsidRPr="00993F31">
              <w:rPr>
                <w:rFonts w:eastAsiaTheme="minorEastAsia"/>
                <w:sz w:val="20"/>
                <w:szCs w:val="20"/>
                <w:u w:val="single"/>
                <w:lang w:val="fr-FR" w:eastAsia="fr-CH"/>
              </w:rPr>
              <w:t>Année 0</w:t>
            </w:r>
            <w:r w:rsidR="00632A47"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</w:t>
            </w:r>
            <w:r w:rsidR="007D5330">
              <w:rPr>
                <w:rFonts w:eastAsiaTheme="minorEastAsia"/>
                <w:sz w:val="20"/>
                <w:szCs w:val="20"/>
                <w:lang w:val="fr-FR" w:eastAsia="fr-CH"/>
              </w:rPr>
              <w:t xml:space="preserve">(2017) </w:t>
            </w: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: Le programme de lutte contre </w:t>
            </w:r>
            <w:r w:rsidR="007D5330">
              <w:rPr>
                <w:rFonts w:eastAsiaTheme="minorEastAsia"/>
                <w:sz w:val="20"/>
                <w:szCs w:val="20"/>
                <w:lang w:val="fr-FR" w:eastAsia="fr-CH"/>
              </w:rPr>
              <w:t>l’exploitation</w:t>
            </w: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des enfants de </w:t>
            </w:r>
            <w:proofErr w:type="spellStart"/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>Tdh</w:t>
            </w:r>
            <w:proofErr w:type="spellEnd"/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</w:t>
            </w:r>
            <w:r w:rsidR="007D5330">
              <w:rPr>
                <w:rFonts w:eastAsiaTheme="minorEastAsia"/>
                <w:sz w:val="20"/>
                <w:szCs w:val="20"/>
                <w:lang w:val="fr-FR" w:eastAsia="fr-CH"/>
              </w:rPr>
              <w:t>met</w:t>
            </w: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au po</w:t>
            </w:r>
            <w:r w:rsidR="00714263"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int </w:t>
            </w:r>
            <w:r w:rsidR="007D5330">
              <w:rPr>
                <w:rFonts w:eastAsiaTheme="minorEastAsia"/>
                <w:sz w:val="20"/>
                <w:szCs w:val="20"/>
                <w:lang w:val="fr-FR" w:eastAsia="fr-CH"/>
              </w:rPr>
              <w:t>le guide</w:t>
            </w:r>
            <w:r w:rsidR="00714263"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et la bo</w:t>
            </w:r>
            <w:r w:rsidR="007D5330">
              <w:rPr>
                <w:rFonts w:eastAsiaTheme="minorEastAsia"/>
                <w:sz w:val="20"/>
                <w:szCs w:val="20"/>
                <w:lang w:val="fr-FR" w:eastAsia="fr-CH"/>
              </w:rPr>
              <w:t>î</w:t>
            </w:r>
            <w:r w:rsidR="00714263" w:rsidRPr="00993F31">
              <w:rPr>
                <w:rFonts w:eastAsiaTheme="minorEastAsia"/>
                <w:sz w:val="20"/>
                <w:szCs w:val="20"/>
                <w:lang w:val="fr-FR" w:eastAsia="fr-CH"/>
              </w:rPr>
              <w:t>te à</w:t>
            </w: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outils </w:t>
            </w:r>
            <w:r w:rsidR="00632A47" w:rsidRPr="00993F31">
              <w:rPr>
                <w:rFonts w:eastAsiaTheme="minorEastAsia"/>
                <w:sz w:val="20"/>
                <w:szCs w:val="20"/>
                <w:lang w:val="fr-FR" w:eastAsia="fr-CH"/>
              </w:rPr>
              <w:t>de collaboration avec les entreprises</w:t>
            </w: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>.</w:t>
            </w:r>
          </w:p>
          <w:p w:rsidR="00953FF4" w:rsidRPr="00993F31" w:rsidRDefault="00953FF4" w:rsidP="00953FF4">
            <w:pPr>
              <w:spacing w:line="240" w:lineRule="auto"/>
              <w:ind w:left="708"/>
              <w:rPr>
                <w:rFonts w:eastAsiaTheme="minorEastAsia"/>
                <w:sz w:val="20"/>
                <w:szCs w:val="20"/>
                <w:lang w:val="fr-FR" w:eastAsia="fr-CH"/>
              </w:rPr>
            </w:pPr>
            <w:r w:rsidRPr="00993F31">
              <w:rPr>
                <w:rFonts w:eastAsiaTheme="minorEastAsia"/>
                <w:sz w:val="20"/>
                <w:szCs w:val="20"/>
                <w:u w:val="single"/>
                <w:lang w:val="fr-FR" w:eastAsia="fr-CH"/>
              </w:rPr>
              <w:t>Année 1</w:t>
            </w:r>
            <w:r w:rsidR="00632A47"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</w:t>
            </w: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: Le </w:t>
            </w:r>
            <w:r w:rsidR="007D5330">
              <w:rPr>
                <w:rFonts w:eastAsiaTheme="minorEastAsia"/>
                <w:sz w:val="20"/>
                <w:szCs w:val="20"/>
                <w:lang w:val="fr-FR" w:eastAsia="fr-CH"/>
              </w:rPr>
              <w:t>guide</w:t>
            </w: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et la boîte à outils sont final</w:t>
            </w:r>
            <w:r w:rsidR="007D5330">
              <w:rPr>
                <w:rFonts w:eastAsiaTheme="minorEastAsia"/>
                <w:sz w:val="20"/>
                <w:szCs w:val="20"/>
                <w:lang w:val="fr-FR" w:eastAsia="fr-CH"/>
              </w:rPr>
              <w:t>isé</w:t>
            </w: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>s. Une formation est organisée et tous les membres du personnel concernés y participent (coordina</w:t>
            </w:r>
            <w:r w:rsidR="007D5330">
              <w:rPr>
                <w:rFonts w:eastAsiaTheme="minorEastAsia"/>
                <w:sz w:val="20"/>
                <w:szCs w:val="20"/>
                <w:lang w:val="fr-FR" w:eastAsia="fr-CH"/>
              </w:rPr>
              <w:t>teur</w:t>
            </w:r>
            <w:r w:rsidR="00714263"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régional</w:t>
            </w: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>, conseill</w:t>
            </w:r>
            <w:r w:rsidR="007D5330">
              <w:rPr>
                <w:rFonts w:eastAsiaTheme="minorEastAsia"/>
                <w:sz w:val="20"/>
                <w:szCs w:val="20"/>
                <w:lang w:val="fr-FR" w:eastAsia="fr-CH"/>
              </w:rPr>
              <w:t>er technique</w:t>
            </w:r>
            <w:r w:rsidR="00714263"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régiona</w:t>
            </w:r>
            <w:r w:rsidR="007D5330">
              <w:rPr>
                <w:rFonts w:eastAsiaTheme="minorEastAsia"/>
                <w:sz w:val="20"/>
                <w:szCs w:val="20"/>
                <w:lang w:val="fr-FR" w:eastAsia="fr-CH"/>
              </w:rPr>
              <w:t>l</w:t>
            </w:r>
            <w:r w:rsidR="00714263" w:rsidRPr="00993F31">
              <w:rPr>
                <w:rFonts w:eastAsiaTheme="minorEastAsia"/>
                <w:sz w:val="20"/>
                <w:szCs w:val="20"/>
                <w:lang w:val="fr-FR" w:eastAsia="fr-CH"/>
              </w:rPr>
              <w:t>, coordinateurs nationaux en protection, responsabl</w:t>
            </w: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>es du programme national de protection). Les outils sont utilisés. Les commentaires des utilisateurs alimentent l’adaptation continue de la boîte à outils.</w:t>
            </w:r>
          </w:p>
          <w:p w:rsidR="00953FF4" w:rsidRPr="00993F31" w:rsidRDefault="00953FF4" w:rsidP="00953FF4">
            <w:pPr>
              <w:spacing w:line="240" w:lineRule="auto"/>
              <w:ind w:left="708"/>
              <w:rPr>
                <w:rFonts w:eastAsiaTheme="minorEastAsia"/>
                <w:sz w:val="20"/>
                <w:szCs w:val="20"/>
                <w:lang w:val="fr-FR" w:eastAsia="fr-CH"/>
              </w:rPr>
            </w:pPr>
            <w:r w:rsidRPr="00993F31">
              <w:rPr>
                <w:rFonts w:eastAsiaTheme="minorEastAsia"/>
                <w:sz w:val="20"/>
                <w:szCs w:val="20"/>
                <w:u w:val="single"/>
                <w:lang w:val="fr-FR" w:eastAsia="fr-CH"/>
              </w:rPr>
              <w:t>Année 2</w:t>
            </w:r>
            <w:r w:rsidR="00500C42"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</w:t>
            </w:r>
            <w:r w:rsidR="00A822D0" w:rsidRPr="00993F31">
              <w:rPr>
                <w:rFonts w:eastAsiaTheme="minorEastAsia"/>
                <w:sz w:val="20"/>
                <w:szCs w:val="20"/>
                <w:lang w:val="fr-FR" w:eastAsia="fr-CH"/>
              </w:rPr>
              <w:t>: Le personnel en poste</w:t>
            </w: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et le nouveau personnel sont systématiquement formés </w:t>
            </w:r>
            <w:r w:rsidR="007D5330">
              <w:rPr>
                <w:rFonts w:eastAsiaTheme="minorEastAsia"/>
                <w:sz w:val="20"/>
                <w:szCs w:val="20"/>
                <w:lang w:val="fr-FR" w:eastAsia="fr-CH"/>
              </w:rPr>
              <w:t>à l’utilisation du guide</w:t>
            </w: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et </w:t>
            </w:r>
            <w:r w:rsidR="007D5330">
              <w:rPr>
                <w:rFonts w:eastAsiaTheme="minorEastAsia"/>
                <w:sz w:val="20"/>
                <w:szCs w:val="20"/>
                <w:lang w:val="fr-FR" w:eastAsia="fr-CH"/>
              </w:rPr>
              <w:t>de</w:t>
            </w: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la boîte à</w:t>
            </w:r>
            <w:r w:rsidR="00A822D0"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outils. Les outils sont maitrisés</w:t>
            </w: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>. Ils sont utilisés à tous les niveaux de l'o</w:t>
            </w:r>
            <w:r w:rsidR="00A822D0" w:rsidRPr="00993F31">
              <w:rPr>
                <w:rFonts w:eastAsiaTheme="minorEastAsia"/>
                <w:sz w:val="20"/>
                <w:szCs w:val="20"/>
                <w:lang w:val="fr-FR" w:eastAsia="fr-CH"/>
              </w:rPr>
              <w:t>rganisation pour établir</w:t>
            </w: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un </w:t>
            </w:r>
            <w:r w:rsidR="007D5330">
              <w:rPr>
                <w:rFonts w:eastAsiaTheme="minorEastAsia"/>
                <w:sz w:val="20"/>
                <w:szCs w:val="20"/>
                <w:lang w:val="fr-FR" w:eastAsia="fr-CH"/>
              </w:rPr>
              <w:t>partenariat</w:t>
            </w: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>. Les utilisateurs sont activement impliqué</w:t>
            </w:r>
            <w:r w:rsidR="00A822D0" w:rsidRPr="00993F31">
              <w:rPr>
                <w:rFonts w:eastAsiaTheme="minorEastAsia"/>
                <w:sz w:val="20"/>
                <w:szCs w:val="20"/>
                <w:lang w:val="fr-FR" w:eastAsia="fr-CH"/>
              </w:rPr>
              <w:t>s dans la mise à jour de la bo</w:t>
            </w:r>
            <w:r w:rsidR="007D5330">
              <w:rPr>
                <w:rFonts w:eastAsiaTheme="minorEastAsia"/>
                <w:sz w:val="20"/>
                <w:szCs w:val="20"/>
                <w:lang w:val="fr-FR" w:eastAsia="fr-CH"/>
              </w:rPr>
              <w:t>î</w:t>
            </w:r>
            <w:r w:rsidR="00A822D0" w:rsidRPr="00993F31">
              <w:rPr>
                <w:rFonts w:eastAsiaTheme="minorEastAsia"/>
                <w:sz w:val="20"/>
                <w:szCs w:val="20"/>
                <w:lang w:val="fr-FR" w:eastAsia="fr-CH"/>
              </w:rPr>
              <w:t>te à outils</w:t>
            </w: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>.</w:t>
            </w:r>
          </w:p>
          <w:p w:rsidR="008455F9" w:rsidRPr="00993F31" w:rsidRDefault="00953FF4" w:rsidP="007D5330">
            <w:pPr>
              <w:spacing w:line="240" w:lineRule="auto"/>
              <w:ind w:left="708"/>
              <w:rPr>
                <w:rFonts w:eastAsiaTheme="minorEastAsia"/>
                <w:sz w:val="20"/>
                <w:szCs w:val="20"/>
                <w:lang w:val="fr-FR" w:eastAsia="fr-CH"/>
              </w:rPr>
            </w:pPr>
            <w:r w:rsidRPr="00993F31">
              <w:rPr>
                <w:rFonts w:eastAsiaTheme="minorEastAsia"/>
                <w:sz w:val="20"/>
                <w:szCs w:val="20"/>
                <w:u w:val="single"/>
                <w:lang w:val="fr-FR" w:eastAsia="fr-CH"/>
              </w:rPr>
              <w:t>Année 3</w:t>
            </w:r>
            <w:r w:rsidRPr="007D5330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(cible</w:t>
            </w:r>
            <w:r w:rsidR="007D5330" w:rsidRPr="007D5330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à 2020</w:t>
            </w:r>
            <w:r w:rsidRPr="007D5330">
              <w:rPr>
                <w:rFonts w:eastAsiaTheme="minorEastAsia"/>
                <w:sz w:val="20"/>
                <w:szCs w:val="20"/>
                <w:lang w:val="fr-FR" w:eastAsia="fr-CH"/>
              </w:rPr>
              <w:t>)</w:t>
            </w:r>
            <w:r w:rsidR="00500C42" w:rsidRPr="007D5330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</w:t>
            </w:r>
            <w:r w:rsidR="007D5330">
              <w:rPr>
                <w:rFonts w:eastAsiaTheme="minorEastAsia"/>
                <w:sz w:val="20"/>
                <w:szCs w:val="20"/>
                <w:lang w:val="fr-FR" w:eastAsia="fr-CH"/>
              </w:rPr>
              <w:t>: Le</w:t>
            </w:r>
            <w:r w:rsidR="00DA5319"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</w:t>
            </w:r>
            <w:r w:rsidR="007D5330">
              <w:rPr>
                <w:rFonts w:eastAsiaTheme="minorEastAsia"/>
                <w:sz w:val="20"/>
                <w:szCs w:val="20"/>
                <w:lang w:val="fr-FR" w:eastAsia="fr-CH"/>
              </w:rPr>
              <w:t>guide</w:t>
            </w: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e</w:t>
            </w:r>
            <w:r w:rsidR="007D5330">
              <w:rPr>
                <w:rFonts w:eastAsiaTheme="minorEastAsia"/>
                <w:sz w:val="20"/>
                <w:szCs w:val="20"/>
                <w:lang w:val="fr-FR" w:eastAsia="fr-CH"/>
              </w:rPr>
              <w:t>t la boîte à outils sont adapté</w:t>
            </w: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>s de manière participative et peuvent s'appliquer à tous les pr</w:t>
            </w:r>
            <w:r w:rsidR="00DA5319" w:rsidRPr="00993F31">
              <w:rPr>
                <w:rFonts w:eastAsiaTheme="minorEastAsia"/>
                <w:sz w:val="20"/>
                <w:szCs w:val="20"/>
                <w:lang w:val="fr-FR" w:eastAsia="fr-CH"/>
              </w:rPr>
              <w:t>ogrammes de l'organisation. Transposition</w:t>
            </w: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au niveau de la fédération internationale et d'autres organisations partenaires.</w:t>
            </w:r>
            <w:r w:rsidR="004657F4"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</w:t>
            </w:r>
          </w:p>
        </w:tc>
      </w:tr>
      <w:tr w:rsidR="00601627" w:rsidRPr="00993F31" w:rsidTr="00CF1A6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01627" w:rsidRPr="00993F31" w:rsidRDefault="0088148D" w:rsidP="00C147AF">
            <w:pPr>
              <w:tabs>
                <w:tab w:val="left" w:pos="3960"/>
              </w:tabs>
              <w:spacing w:line="240" w:lineRule="auto"/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</w:pPr>
            <w:r w:rsidRPr="00993F31"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  <w:t>Point de référence</w:t>
            </w:r>
            <w:r w:rsidR="00601627" w:rsidRPr="00993F31"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  <w:t xml:space="preserve"> 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1627" w:rsidRPr="00993F31" w:rsidRDefault="0088148D" w:rsidP="007D5330">
            <w:pPr>
              <w:spacing w:line="240" w:lineRule="auto"/>
              <w:rPr>
                <w:sz w:val="20"/>
                <w:szCs w:val="20"/>
                <w:lang w:val="fr-FR"/>
              </w:rPr>
            </w:pPr>
            <w:r w:rsidRPr="00993F31">
              <w:rPr>
                <w:sz w:val="20"/>
                <w:szCs w:val="20"/>
                <w:lang w:val="fr-FR"/>
              </w:rPr>
              <w:t>Année 0:</w:t>
            </w:r>
            <w:r w:rsidR="007B5CE5" w:rsidRPr="00993F31">
              <w:rPr>
                <w:sz w:val="20"/>
                <w:szCs w:val="20"/>
                <w:lang w:val="fr-FR"/>
              </w:rPr>
              <w:t xml:space="preserve"> </w:t>
            </w:r>
            <w:r w:rsidR="007D5330">
              <w:rPr>
                <w:rFonts w:eastAsiaTheme="minorEastAsia"/>
                <w:sz w:val="20"/>
                <w:szCs w:val="20"/>
                <w:lang w:val="fr-FR" w:eastAsia="fr-CH"/>
              </w:rPr>
              <w:t>M</w:t>
            </w: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ise au point </w:t>
            </w:r>
            <w:r w:rsidR="007D5330">
              <w:rPr>
                <w:rFonts w:eastAsiaTheme="minorEastAsia"/>
                <w:sz w:val="20"/>
                <w:szCs w:val="20"/>
                <w:lang w:val="fr-FR" w:eastAsia="fr-CH"/>
              </w:rPr>
              <w:t>du guide et des</w:t>
            </w:r>
            <w:r w:rsidR="00DA5319"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outils de collaboration avec les entreprises</w:t>
            </w:r>
          </w:p>
        </w:tc>
      </w:tr>
      <w:tr w:rsidR="00BF5C82" w:rsidRPr="00993F31" w:rsidTr="00CF1A6E">
        <w:trPr>
          <w:trHeight w:val="1250"/>
        </w:trPr>
        <w:tc>
          <w:tcPr>
            <w:tcW w:w="1908" w:type="dxa"/>
            <w:shd w:val="clear" w:color="auto" w:fill="DBE5F1" w:themeFill="accent1" w:themeFillTint="33"/>
          </w:tcPr>
          <w:p w:rsidR="00BF5C82" w:rsidRPr="00993F31" w:rsidRDefault="0088148D" w:rsidP="00C147AF">
            <w:pPr>
              <w:tabs>
                <w:tab w:val="left" w:pos="3960"/>
              </w:tabs>
              <w:spacing w:line="240" w:lineRule="auto"/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</w:pPr>
            <w:r w:rsidRPr="00993F31"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  <w:t>Collecte des données, sources et méthodes</w:t>
            </w:r>
          </w:p>
        </w:tc>
        <w:tc>
          <w:tcPr>
            <w:tcW w:w="7272" w:type="dxa"/>
            <w:shd w:val="clear" w:color="auto" w:fill="FFFFFF" w:themeFill="background1"/>
          </w:tcPr>
          <w:p w:rsidR="0088148D" w:rsidRPr="00993F31" w:rsidRDefault="0088148D" w:rsidP="0088148D">
            <w:pPr>
              <w:spacing w:line="240" w:lineRule="auto"/>
              <w:rPr>
                <w:rFonts w:eastAsiaTheme="minorEastAsia"/>
                <w:sz w:val="20"/>
                <w:szCs w:val="20"/>
                <w:lang w:val="fr-FR" w:eastAsia="fr-CH"/>
              </w:rPr>
            </w:pPr>
            <w:r w:rsidRPr="00993F31">
              <w:rPr>
                <w:rFonts w:eastAsiaTheme="minorEastAsia"/>
                <w:b/>
                <w:sz w:val="20"/>
                <w:szCs w:val="20"/>
                <w:lang w:val="fr-FR" w:eastAsia="fr-CH"/>
              </w:rPr>
              <w:t>Sources</w:t>
            </w: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: </w:t>
            </w:r>
            <w:r w:rsidR="007D5330">
              <w:rPr>
                <w:rFonts w:eastAsiaTheme="minorEastAsia"/>
                <w:sz w:val="20"/>
                <w:szCs w:val="20"/>
                <w:lang w:val="fr-FR" w:eastAsia="fr-CH"/>
              </w:rPr>
              <w:t>M</w:t>
            </w: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>emb</w:t>
            </w:r>
            <w:r w:rsidR="005B5AFF"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res du personnel du programme </w:t>
            </w:r>
            <w:r w:rsidR="007D5330">
              <w:rPr>
                <w:rFonts w:eastAsiaTheme="minorEastAsia"/>
                <w:sz w:val="20"/>
                <w:szCs w:val="20"/>
                <w:lang w:val="fr-FR" w:eastAsia="fr-CH"/>
              </w:rPr>
              <w:t xml:space="preserve">Lutte contre l’exploitation des enfants </w:t>
            </w: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>; membres du personnel ré</w:t>
            </w:r>
            <w:r w:rsidR="005B5AFF"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gional et local chargés </w:t>
            </w:r>
            <w:r w:rsidR="001429D9">
              <w:rPr>
                <w:rFonts w:eastAsiaTheme="minorEastAsia"/>
                <w:sz w:val="20"/>
                <w:szCs w:val="20"/>
                <w:lang w:val="fr-FR" w:eastAsia="fr-CH"/>
              </w:rPr>
              <w:t>de la lutte contre l’exploitation</w:t>
            </w: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ou de</w:t>
            </w:r>
            <w:r w:rsidR="005B5AFF"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la protection; Comi</w:t>
            </w:r>
            <w:r w:rsidR="002F1B11"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té </w:t>
            </w:r>
            <w:r w:rsidR="001429D9">
              <w:rPr>
                <w:rFonts w:eastAsiaTheme="minorEastAsia"/>
                <w:sz w:val="20"/>
                <w:szCs w:val="20"/>
                <w:lang w:val="fr-FR" w:eastAsia="fr-CH"/>
              </w:rPr>
              <w:t>éthique</w:t>
            </w:r>
            <w:r w:rsidR="002F1B11"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de </w:t>
            </w:r>
            <w:proofErr w:type="spellStart"/>
            <w:r w:rsidR="002F1B11" w:rsidRPr="00993F31">
              <w:rPr>
                <w:rFonts w:eastAsiaTheme="minorEastAsia"/>
                <w:sz w:val="20"/>
                <w:szCs w:val="20"/>
                <w:lang w:val="fr-FR" w:eastAsia="fr-CH"/>
              </w:rPr>
              <w:t>Tdh</w:t>
            </w:r>
            <w:proofErr w:type="spellEnd"/>
            <w:r w:rsidR="002F1B11"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et/ou du</w:t>
            </w: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</w:t>
            </w:r>
            <w:r w:rsidR="005B5AFF"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Comité de direction des opérations </w:t>
            </w:r>
            <w:r w:rsidR="002F1B11" w:rsidRPr="00993F31">
              <w:rPr>
                <w:rFonts w:eastAsiaTheme="minorEastAsia"/>
                <w:sz w:val="20"/>
                <w:szCs w:val="20"/>
                <w:lang w:val="fr-FR" w:eastAsia="fr-CH"/>
              </w:rPr>
              <w:t>(</w:t>
            </w:r>
            <w:proofErr w:type="spellStart"/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>CodirOp</w:t>
            </w:r>
            <w:proofErr w:type="spellEnd"/>
            <w:r w:rsidR="002F1B11" w:rsidRPr="00993F31">
              <w:rPr>
                <w:rFonts w:eastAsiaTheme="minorEastAsia"/>
                <w:sz w:val="20"/>
                <w:szCs w:val="20"/>
                <w:lang w:val="fr-FR" w:eastAsia="fr-CH"/>
              </w:rPr>
              <w:t>)</w:t>
            </w:r>
          </w:p>
          <w:p w:rsidR="008455F9" w:rsidRPr="00993F31" w:rsidRDefault="0088148D" w:rsidP="0088148D">
            <w:pPr>
              <w:spacing w:line="240" w:lineRule="auto"/>
              <w:rPr>
                <w:rFonts w:eastAsiaTheme="minorEastAsia"/>
                <w:sz w:val="20"/>
                <w:szCs w:val="20"/>
                <w:lang w:val="fr-FR" w:eastAsia="fr-CH"/>
              </w:rPr>
            </w:pPr>
            <w:r w:rsidRPr="00993F31">
              <w:rPr>
                <w:rFonts w:eastAsiaTheme="minorEastAsia"/>
                <w:b/>
                <w:sz w:val="20"/>
                <w:szCs w:val="20"/>
                <w:lang w:val="fr-FR" w:eastAsia="fr-CH"/>
              </w:rPr>
              <w:t>Méthodes</w:t>
            </w: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: Examen régulier de la mise en œuvre de la straté</w:t>
            </w:r>
            <w:r w:rsidR="002F1B11" w:rsidRPr="00993F31">
              <w:rPr>
                <w:rFonts w:eastAsiaTheme="minorEastAsia"/>
                <w:sz w:val="20"/>
                <w:szCs w:val="20"/>
                <w:lang w:val="fr-FR" w:eastAsia="fr-CH"/>
              </w:rPr>
              <w:t>gie par l'équipe du programme sur le travail des enfants</w:t>
            </w: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(établissement de rapports)</w:t>
            </w:r>
            <w:r w:rsidR="002F1B11"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</w:t>
            </w: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>; examen des listes de présence</w:t>
            </w:r>
            <w:r w:rsidR="002F1B11"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aux</w:t>
            </w:r>
            <w:r w:rsidR="002F780F"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formation</w:t>
            </w:r>
            <w:r w:rsidR="002F1B11" w:rsidRPr="00993F31">
              <w:rPr>
                <w:rFonts w:eastAsiaTheme="minorEastAsia"/>
                <w:sz w:val="20"/>
                <w:szCs w:val="20"/>
                <w:lang w:val="fr-FR" w:eastAsia="fr-CH"/>
              </w:rPr>
              <w:t>s</w:t>
            </w:r>
            <w:r w:rsidR="002F780F"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et évaluation</w:t>
            </w:r>
            <w:r w:rsidR="002F1B11"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après les</w:t>
            </w: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formation</w:t>
            </w:r>
            <w:r w:rsidR="002F1B11" w:rsidRPr="00993F31">
              <w:rPr>
                <w:rFonts w:eastAsiaTheme="minorEastAsia"/>
                <w:sz w:val="20"/>
                <w:szCs w:val="20"/>
                <w:lang w:val="fr-FR" w:eastAsia="fr-CH"/>
              </w:rPr>
              <w:t>s</w:t>
            </w: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(ques</w:t>
            </w:r>
            <w:r w:rsidR="002F1B11" w:rsidRPr="00993F31">
              <w:rPr>
                <w:rFonts w:eastAsiaTheme="minorEastAsia"/>
                <w:sz w:val="20"/>
                <w:szCs w:val="20"/>
                <w:lang w:val="fr-FR" w:eastAsia="fr-CH"/>
              </w:rPr>
              <w:t>tionnaire ouvert)</w:t>
            </w:r>
            <w:r w:rsidR="00506954"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</w:t>
            </w:r>
            <w:r w:rsidR="002F1B11" w:rsidRPr="00993F31">
              <w:rPr>
                <w:rFonts w:eastAsiaTheme="minorEastAsia"/>
                <w:sz w:val="20"/>
                <w:szCs w:val="20"/>
                <w:lang w:val="fr-FR" w:eastAsia="fr-CH"/>
              </w:rPr>
              <w:t>; évaluation</w:t>
            </w:r>
            <w:r w:rsidR="00506954"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</w:t>
            </w:r>
            <w:r w:rsidR="002F1B11" w:rsidRPr="00993F31">
              <w:rPr>
                <w:rFonts w:eastAsiaTheme="minorEastAsia"/>
                <w:sz w:val="20"/>
                <w:szCs w:val="20"/>
                <w:lang w:val="fr-FR" w:eastAsia="fr-CH"/>
              </w:rPr>
              <w:t>sur</w:t>
            </w: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l'utilisation des outils</w:t>
            </w:r>
          </w:p>
        </w:tc>
      </w:tr>
      <w:tr w:rsidR="00785E98" w:rsidRPr="00993F31" w:rsidTr="00CF1A6E">
        <w:tc>
          <w:tcPr>
            <w:tcW w:w="1908" w:type="dxa"/>
            <w:shd w:val="clear" w:color="auto" w:fill="DBE5F1" w:themeFill="accent1" w:themeFillTint="33"/>
          </w:tcPr>
          <w:p w:rsidR="00785E98" w:rsidRPr="00993F31" w:rsidRDefault="0088148D" w:rsidP="00C147AF">
            <w:pPr>
              <w:tabs>
                <w:tab w:val="left" w:pos="3960"/>
              </w:tabs>
              <w:spacing w:line="240" w:lineRule="auto"/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</w:pPr>
            <w:r w:rsidRPr="00993F31"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  <w:t>Outil de collecte des données</w:t>
            </w:r>
          </w:p>
        </w:tc>
        <w:tc>
          <w:tcPr>
            <w:tcW w:w="7272" w:type="dxa"/>
            <w:shd w:val="clear" w:color="auto" w:fill="FFFFFF" w:themeFill="background1"/>
          </w:tcPr>
          <w:p w:rsidR="00785E98" w:rsidRPr="00101DAA" w:rsidRDefault="00101DAA" w:rsidP="00101DAA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R</w:t>
            </w:r>
            <w:r w:rsidR="00506954" w:rsidRPr="00993F31">
              <w:rPr>
                <w:sz w:val="20"/>
                <w:szCs w:val="20"/>
                <w:lang w:val="fr-FR"/>
              </w:rPr>
              <w:t xml:space="preserve">apports du programme </w:t>
            </w:r>
            <w:r>
              <w:rPr>
                <w:sz w:val="20"/>
                <w:szCs w:val="20"/>
                <w:lang w:val="fr-FR"/>
              </w:rPr>
              <w:t>Lutte contre l’exploitation</w:t>
            </w:r>
            <w:r w:rsidR="00506954" w:rsidRPr="00993F31">
              <w:rPr>
                <w:sz w:val="20"/>
                <w:szCs w:val="20"/>
                <w:lang w:val="fr-FR"/>
              </w:rPr>
              <w:t xml:space="preserve"> des enfants ; </w:t>
            </w:r>
            <w:r>
              <w:rPr>
                <w:sz w:val="20"/>
                <w:szCs w:val="20"/>
                <w:lang w:val="fr-FR"/>
              </w:rPr>
              <w:t>système de gestion documentaire</w:t>
            </w:r>
          </w:p>
        </w:tc>
      </w:tr>
      <w:tr w:rsidR="00203871" w:rsidRPr="00993F31" w:rsidTr="00CF1A6E">
        <w:tc>
          <w:tcPr>
            <w:tcW w:w="1908" w:type="dxa"/>
            <w:shd w:val="clear" w:color="auto" w:fill="DBE5F1" w:themeFill="accent1" w:themeFillTint="33"/>
          </w:tcPr>
          <w:p w:rsidR="00203871" w:rsidRPr="00993F31" w:rsidRDefault="0088148D" w:rsidP="00C147AF">
            <w:pPr>
              <w:tabs>
                <w:tab w:val="left" w:pos="3960"/>
              </w:tabs>
              <w:spacing w:line="240" w:lineRule="auto"/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</w:pPr>
            <w:r w:rsidRPr="00993F31"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  <w:t xml:space="preserve">Fréquence et </w:t>
            </w:r>
            <w:r w:rsidRPr="00993F31"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  <w:lastRenderedPageBreak/>
              <w:t>délais</w:t>
            </w:r>
            <w:r w:rsidR="00203871" w:rsidRPr="00993F31"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  <w:t xml:space="preserve"> </w:t>
            </w:r>
          </w:p>
        </w:tc>
        <w:tc>
          <w:tcPr>
            <w:tcW w:w="7272" w:type="dxa"/>
            <w:shd w:val="clear" w:color="auto" w:fill="FFFFFF" w:themeFill="background1"/>
          </w:tcPr>
          <w:p w:rsidR="00506954" w:rsidRPr="00993F31" w:rsidRDefault="00506954" w:rsidP="00506954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993F31">
              <w:rPr>
                <w:sz w:val="20"/>
                <w:szCs w:val="20"/>
                <w:lang w:val="fr-FR"/>
              </w:rPr>
              <w:lastRenderedPageBreak/>
              <w:t xml:space="preserve">La consolidation des données devrait être effectuée tous les six mois et partagée avec </w:t>
            </w:r>
            <w:r w:rsidRPr="00993F31">
              <w:rPr>
                <w:sz w:val="20"/>
                <w:szCs w:val="20"/>
                <w:lang w:val="fr-FR"/>
              </w:rPr>
              <w:lastRenderedPageBreak/>
              <w:t xml:space="preserve">le niveau régional </w:t>
            </w:r>
            <w:r w:rsidR="00101DAA">
              <w:rPr>
                <w:sz w:val="20"/>
                <w:szCs w:val="20"/>
                <w:lang w:val="fr-FR"/>
              </w:rPr>
              <w:t>et au</w:t>
            </w:r>
            <w:r w:rsidRPr="00993F31">
              <w:rPr>
                <w:sz w:val="20"/>
                <w:szCs w:val="20"/>
                <w:lang w:val="fr-FR"/>
              </w:rPr>
              <w:t xml:space="preserve"> siège.</w:t>
            </w:r>
          </w:p>
          <w:p w:rsidR="00D502F4" w:rsidRPr="00993F31" w:rsidRDefault="00D502F4" w:rsidP="00C147AF">
            <w:pPr>
              <w:spacing w:line="240" w:lineRule="auto"/>
              <w:rPr>
                <w:rFonts w:eastAsiaTheme="minorEastAsia"/>
                <w:sz w:val="20"/>
                <w:szCs w:val="20"/>
                <w:lang w:val="fr-FR" w:eastAsia="fr-CH"/>
              </w:rPr>
            </w:pPr>
          </w:p>
        </w:tc>
      </w:tr>
      <w:tr w:rsidR="003A331F" w:rsidRPr="00993F31" w:rsidTr="00CF1A6E">
        <w:tc>
          <w:tcPr>
            <w:tcW w:w="1908" w:type="dxa"/>
            <w:shd w:val="clear" w:color="auto" w:fill="DBE5F1" w:themeFill="accent1" w:themeFillTint="33"/>
          </w:tcPr>
          <w:p w:rsidR="003A331F" w:rsidRPr="00993F31" w:rsidRDefault="002F780F" w:rsidP="00C147AF">
            <w:pPr>
              <w:tabs>
                <w:tab w:val="left" w:pos="3960"/>
              </w:tabs>
              <w:spacing w:line="240" w:lineRule="auto"/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</w:pPr>
            <w:r w:rsidRPr="00993F31"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  <w:lastRenderedPageBreak/>
              <w:t>Rôles et responsa</w:t>
            </w:r>
            <w:r w:rsidR="0088148D" w:rsidRPr="00993F31"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  <w:t>bil</w:t>
            </w:r>
            <w:r w:rsidR="004A314F"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  <w:t>it</w:t>
            </w:r>
            <w:r w:rsidR="0088148D" w:rsidRPr="00993F31"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  <w:t>és</w:t>
            </w:r>
          </w:p>
        </w:tc>
        <w:tc>
          <w:tcPr>
            <w:tcW w:w="7272" w:type="dxa"/>
            <w:shd w:val="clear" w:color="auto" w:fill="FFFFFF" w:themeFill="background1"/>
          </w:tcPr>
          <w:p w:rsidR="007117CF" w:rsidRPr="00993F31" w:rsidRDefault="007117CF" w:rsidP="007117CF">
            <w:pPr>
              <w:pStyle w:val="Paragraphedeliste"/>
              <w:numPr>
                <w:ilvl w:val="0"/>
                <w:numId w:val="31"/>
              </w:numPr>
              <w:spacing w:line="240" w:lineRule="auto"/>
              <w:rPr>
                <w:sz w:val="20"/>
                <w:szCs w:val="20"/>
                <w:lang w:val="fr-FR"/>
              </w:rPr>
            </w:pPr>
            <w:r w:rsidRPr="00993F31">
              <w:rPr>
                <w:sz w:val="20"/>
                <w:szCs w:val="20"/>
                <w:lang w:val="fr-FR"/>
              </w:rPr>
              <w:t xml:space="preserve">Conception de l'outil </w:t>
            </w:r>
            <w:r w:rsidR="00506954" w:rsidRPr="00993F31">
              <w:rPr>
                <w:sz w:val="20"/>
                <w:szCs w:val="20"/>
                <w:lang w:val="fr-FR"/>
              </w:rPr>
              <w:t xml:space="preserve">: </w:t>
            </w:r>
            <w:r w:rsidR="00101DAA">
              <w:rPr>
                <w:sz w:val="20"/>
                <w:szCs w:val="20"/>
                <w:lang w:val="fr-FR"/>
              </w:rPr>
              <w:t>C</w:t>
            </w:r>
            <w:r w:rsidR="00506954" w:rsidRPr="00993F31">
              <w:rPr>
                <w:sz w:val="20"/>
                <w:szCs w:val="20"/>
                <w:lang w:val="fr-FR"/>
              </w:rPr>
              <w:t xml:space="preserve">onseiller du </w:t>
            </w:r>
            <w:r w:rsidR="00101DAA" w:rsidRPr="00993F31">
              <w:rPr>
                <w:sz w:val="20"/>
                <w:szCs w:val="20"/>
                <w:lang w:val="fr-FR"/>
              </w:rPr>
              <w:t xml:space="preserve">programme </w:t>
            </w:r>
            <w:r w:rsidR="00101DAA">
              <w:rPr>
                <w:sz w:val="20"/>
                <w:szCs w:val="20"/>
                <w:lang w:val="fr-FR"/>
              </w:rPr>
              <w:t>Lutte contre l’exploitation</w:t>
            </w:r>
            <w:r w:rsidR="00101DAA" w:rsidRPr="00993F31">
              <w:rPr>
                <w:sz w:val="20"/>
                <w:szCs w:val="20"/>
                <w:lang w:val="fr-FR"/>
              </w:rPr>
              <w:t xml:space="preserve"> des enfants</w:t>
            </w:r>
          </w:p>
          <w:p w:rsidR="007117CF" w:rsidRPr="00993F31" w:rsidRDefault="007117CF" w:rsidP="007117CF">
            <w:pPr>
              <w:pStyle w:val="Paragraphedeliste"/>
              <w:numPr>
                <w:ilvl w:val="0"/>
                <w:numId w:val="31"/>
              </w:numPr>
              <w:spacing w:line="240" w:lineRule="auto"/>
              <w:rPr>
                <w:sz w:val="20"/>
                <w:szCs w:val="20"/>
                <w:lang w:val="fr-FR"/>
              </w:rPr>
            </w:pPr>
            <w:r w:rsidRPr="00993F31">
              <w:rPr>
                <w:sz w:val="20"/>
                <w:szCs w:val="20"/>
                <w:lang w:val="fr-FR"/>
              </w:rPr>
              <w:t xml:space="preserve">Collecte de données : </w:t>
            </w:r>
            <w:r w:rsidR="00101DAA">
              <w:rPr>
                <w:sz w:val="20"/>
                <w:szCs w:val="20"/>
                <w:lang w:val="fr-FR"/>
              </w:rPr>
              <w:t>C</w:t>
            </w:r>
            <w:r w:rsidRPr="00993F31">
              <w:rPr>
                <w:sz w:val="20"/>
                <w:szCs w:val="20"/>
                <w:lang w:val="fr-FR"/>
              </w:rPr>
              <w:t>onseiller d</w:t>
            </w:r>
            <w:r w:rsidR="00101DAA">
              <w:rPr>
                <w:sz w:val="20"/>
                <w:szCs w:val="20"/>
                <w:lang w:val="fr-FR"/>
              </w:rPr>
              <w:t>u</w:t>
            </w:r>
            <w:r w:rsidRPr="00993F31">
              <w:rPr>
                <w:sz w:val="20"/>
                <w:szCs w:val="20"/>
                <w:lang w:val="fr-FR"/>
              </w:rPr>
              <w:t xml:space="preserve"> </w:t>
            </w:r>
            <w:r w:rsidR="00101DAA" w:rsidRPr="00993F31">
              <w:rPr>
                <w:sz w:val="20"/>
                <w:szCs w:val="20"/>
                <w:lang w:val="fr-FR"/>
              </w:rPr>
              <w:t xml:space="preserve">programme </w:t>
            </w:r>
            <w:r w:rsidR="00101DAA">
              <w:rPr>
                <w:sz w:val="20"/>
                <w:szCs w:val="20"/>
                <w:lang w:val="fr-FR"/>
              </w:rPr>
              <w:t>Lutte contre l’exploitation</w:t>
            </w:r>
            <w:r w:rsidR="00101DAA" w:rsidRPr="00993F31">
              <w:rPr>
                <w:sz w:val="20"/>
                <w:szCs w:val="20"/>
                <w:lang w:val="fr-FR"/>
              </w:rPr>
              <w:t xml:space="preserve"> des enfants</w:t>
            </w:r>
            <w:r w:rsidR="00101DAA">
              <w:rPr>
                <w:sz w:val="20"/>
                <w:szCs w:val="20"/>
                <w:lang w:val="fr-FR"/>
              </w:rPr>
              <w:t xml:space="preserve"> au niveau du siège ; coordinateur régional au niveau régional, délégués au niveau local </w:t>
            </w:r>
          </w:p>
          <w:p w:rsidR="00101DAA" w:rsidRPr="00993F31" w:rsidRDefault="007117CF" w:rsidP="00101DAA">
            <w:pPr>
              <w:pStyle w:val="Paragraphedeliste"/>
              <w:numPr>
                <w:ilvl w:val="0"/>
                <w:numId w:val="31"/>
              </w:numPr>
              <w:spacing w:line="240" w:lineRule="auto"/>
              <w:rPr>
                <w:sz w:val="20"/>
                <w:szCs w:val="20"/>
                <w:lang w:val="fr-FR"/>
              </w:rPr>
            </w:pPr>
            <w:r w:rsidRPr="00993F31">
              <w:rPr>
                <w:sz w:val="20"/>
                <w:szCs w:val="20"/>
                <w:lang w:val="fr-FR"/>
              </w:rPr>
              <w:t xml:space="preserve">Analyse des données </w:t>
            </w:r>
            <w:r w:rsidR="00506954" w:rsidRPr="00993F31">
              <w:rPr>
                <w:sz w:val="20"/>
                <w:szCs w:val="20"/>
                <w:lang w:val="fr-FR"/>
              </w:rPr>
              <w:t xml:space="preserve">: </w:t>
            </w:r>
            <w:r w:rsidR="00101DAA">
              <w:rPr>
                <w:sz w:val="20"/>
                <w:szCs w:val="20"/>
                <w:lang w:val="fr-FR"/>
              </w:rPr>
              <w:t>C</w:t>
            </w:r>
            <w:r w:rsidR="00101DAA" w:rsidRPr="00993F31">
              <w:rPr>
                <w:sz w:val="20"/>
                <w:szCs w:val="20"/>
                <w:lang w:val="fr-FR"/>
              </w:rPr>
              <w:t xml:space="preserve">onseiller du programme </w:t>
            </w:r>
            <w:r w:rsidR="00101DAA">
              <w:rPr>
                <w:sz w:val="20"/>
                <w:szCs w:val="20"/>
                <w:lang w:val="fr-FR"/>
              </w:rPr>
              <w:t>Lutte contre l’exploitation</w:t>
            </w:r>
            <w:r w:rsidR="00101DAA" w:rsidRPr="00993F31">
              <w:rPr>
                <w:sz w:val="20"/>
                <w:szCs w:val="20"/>
                <w:lang w:val="fr-FR"/>
              </w:rPr>
              <w:t xml:space="preserve"> des enfants</w:t>
            </w:r>
          </w:p>
          <w:p w:rsidR="003C0822" w:rsidRPr="00101DAA" w:rsidRDefault="00506954" w:rsidP="00101DAA">
            <w:pPr>
              <w:pStyle w:val="Paragraphedeliste"/>
              <w:numPr>
                <w:ilvl w:val="0"/>
                <w:numId w:val="31"/>
              </w:numPr>
              <w:spacing w:line="240" w:lineRule="auto"/>
              <w:rPr>
                <w:sz w:val="20"/>
                <w:szCs w:val="20"/>
                <w:lang w:val="fr-FR"/>
              </w:rPr>
            </w:pPr>
            <w:r w:rsidRPr="00993F31">
              <w:rPr>
                <w:sz w:val="20"/>
                <w:szCs w:val="20"/>
                <w:lang w:val="fr-FR"/>
              </w:rPr>
              <w:t>Validation et commentaires</w:t>
            </w:r>
            <w:r w:rsidR="007117CF" w:rsidRPr="00993F31">
              <w:rPr>
                <w:sz w:val="20"/>
                <w:szCs w:val="20"/>
                <w:lang w:val="fr-FR"/>
              </w:rPr>
              <w:t xml:space="preserve"> </w:t>
            </w:r>
            <w:r w:rsidRPr="00993F31">
              <w:rPr>
                <w:sz w:val="20"/>
                <w:szCs w:val="20"/>
                <w:lang w:val="fr-FR"/>
              </w:rPr>
              <w:t xml:space="preserve">: Responsable du </w:t>
            </w:r>
            <w:r w:rsidR="00101DAA">
              <w:rPr>
                <w:sz w:val="20"/>
                <w:szCs w:val="20"/>
                <w:lang w:val="fr-FR"/>
              </w:rPr>
              <w:t>C</w:t>
            </w:r>
            <w:r w:rsidR="00101DAA" w:rsidRPr="00993F31">
              <w:rPr>
                <w:sz w:val="20"/>
                <w:szCs w:val="20"/>
                <w:lang w:val="fr-FR"/>
              </w:rPr>
              <w:t xml:space="preserve">onseiller du programme </w:t>
            </w:r>
            <w:r w:rsidR="00101DAA">
              <w:rPr>
                <w:sz w:val="20"/>
                <w:szCs w:val="20"/>
                <w:lang w:val="fr-FR"/>
              </w:rPr>
              <w:t>Lutte contre l’exploitation</w:t>
            </w:r>
            <w:r w:rsidR="00101DAA" w:rsidRPr="00993F31">
              <w:rPr>
                <w:sz w:val="20"/>
                <w:szCs w:val="20"/>
                <w:lang w:val="fr-FR"/>
              </w:rPr>
              <w:t xml:space="preserve"> des enfants</w:t>
            </w:r>
          </w:p>
        </w:tc>
      </w:tr>
      <w:tr w:rsidR="00203871" w:rsidRPr="00993F31" w:rsidTr="00CF1A6E">
        <w:trPr>
          <w:trHeight w:val="559"/>
        </w:trPr>
        <w:tc>
          <w:tcPr>
            <w:tcW w:w="1908" w:type="dxa"/>
            <w:shd w:val="clear" w:color="auto" w:fill="DBE5F1" w:themeFill="accent1" w:themeFillTint="33"/>
          </w:tcPr>
          <w:p w:rsidR="00203871" w:rsidRPr="00993F31" w:rsidRDefault="007117CF" w:rsidP="00C147AF">
            <w:pPr>
              <w:tabs>
                <w:tab w:val="left" w:pos="3960"/>
              </w:tabs>
              <w:spacing w:line="240" w:lineRule="auto"/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</w:pPr>
            <w:r w:rsidRPr="00993F31"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  <w:t xml:space="preserve">Problèmes de qualité des données </w:t>
            </w:r>
          </w:p>
          <w:p w:rsidR="00203871" w:rsidRPr="00993F31" w:rsidRDefault="00203871" w:rsidP="00C147AF">
            <w:pPr>
              <w:tabs>
                <w:tab w:val="left" w:pos="3960"/>
              </w:tabs>
              <w:spacing w:line="240" w:lineRule="auto"/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</w:pPr>
          </w:p>
        </w:tc>
        <w:tc>
          <w:tcPr>
            <w:tcW w:w="7272" w:type="dxa"/>
            <w:shd w:val="clear" w:color="auto" w:fill="FFFFFF" w:themeFill="background1"/>
          </w:tcPr>
          <w:p w:rsidR="007117CF" w:rsidRPr="00993F31" w:rsidRDefault="007117CF" w:rsidP="007117CF">
            <w:pPr>
              <w:spacing w:line="240" w:lineRule="auto"/>
              <w:rPr>
                <w:rFonts w:eastAsiaTheme="minorEastAsia"/>
                <w:sz w:val="20"/>
                <w:szCs w:val="20"/>
                <w:lang w:val="fr-FR" w:eastAsia="fr-CH"/>
              </w:rPr>
            </w:pP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>Le risque de biais est élevé lorsque l’évaluation de la réussite d’une activité est effectuée par l</w:t>
            </w:r>
            <w:r w:rsidR="00085C49" w:rsidRPr="00993F31">
              <w:rPr>
                <w:rFonts w:eastAsiaTheme="minorEastAsia"/>
                <w:sz w:val="20"/>
                <w:szCs w:val="20"/>
                <w:lang w:val="fr-FR" w:eastAsia="fr-CH"/>
              </w:rPr>
              <w:t>e personnel cha</w:t>
            </w:r>
            <w:r w:rsidR="001039C5">
              <w:rPr>
                <w:rFonts w:eastAsiaTheme="minorEastAsia"/>
                <w:sz w:val="20"/>
                <w:szCs w:val="20"/>
                <w:lang w:val="fr-FR" w:eastAsia="fr-CH"/>
              </w:rPr>
              <w:t>rgé de la mettre en œuvre. C</w:t>
            </w:r>
            <w:r w:rsidR="00085C49"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elui-ci </w:t>
            </w:r>
            <w:r w:rsidR="001039C5">
              <w:rPr>
                <w:rFonts w:eastAsiaTheme="minorEastAsia"/>
                <w:sz w:val="20"/>
                <w:szCs w:val="20"/>
                <w:lang w:val="fr-FR" w:eastAsia="fr-CH"/>
              </w:rPr>
              <w:t>pourrait</w:t>
            </w:r>
            <w:r w:rsidR="00085C49"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être tenté d’</w:t>
            </w: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évaluer </w:t>
            </w:r>
            <w:r w:rsidR="00085C49"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très </w:t>
            </w: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>positive</w:t>
            </w:r>
            <w:r w:rsidR="00085C49" w:rsidRPr="00993F31">
              <w:rPr>
                <w:rFonts w:eastAsiaTheme="minorEastAsia"/>
                <w:sz w:val="20"/>
                <w:szCs w:val="20"/>
                <w:lang w:val="fr-FR" w:eastAsia="fr-CH"/>
              </w:rPr>
              <w:t>ment</w:t>
            </w: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le niveau de mise en œuvre </w:t>
            </w:r>
            <w:r w:rsidR="001039C5">
              <w:rPr>
                <w:rFonts w:eastAsiaTheme="minorEastAsia"/>
                <w:sz w:val="20"/>
                <w:szCs w:val="20"/>
                <w:lang w:val="fr-FR" w:eastAsia="fr-CH"/>
              </w:rPr>
              <w:t xml:space="preserve">du guide et des outils. </w:t>
            </w:r>
          </w:p>
          <w:p w:rsidR="007117CF" w:rsidRPr="003F3220" w:rsidRDefault="007117CF" w:rsidP="002816A3">
            <w:pPr>
              <w:pStyle w:val="Paragraphedeliste"/>
              <w:numPr>
                <w:ilvl w:val="0"/>
                <w:numId w:val="38"/>
              </w:numPr>
              <w:spacing w:line="240" w:lineRule="auto"/>
              <w:rPr>
                <w:rFonts w:eastAsiaTheme="minorEastAsia"/>
                <w:sz w:val="20"/>
                <w:szCs w:val="20"/>
                <w:lang w:eastAsia="fr-CH"/>
              </w:rPr>
            </w:pPr>
            <w:r w:rsidRPr="003F3220">
              <w:rPr>
                <w:rFonts w:eastAsiaTheme="minorEastAsia"/>
                <w:sz w:val="20"/>
                <w:szCs w:val="20"/>
                <w:lang w:eastAsia="fr-CH"/>
              </w:rPr>
              <w:t>Le mélange d'outils quantitatifs et qualitatifs peut atténuer ce risque de biais</w:t>
            </w:r>
            <w:r w:rsidR="00CF1A6E" w:rsidRPr="003F3220">
              <w:rPr>
                <w:rFonts w:eastAsiaTheme="minorEastAsia"/>
                <w:sz w:val="20"/>
                <w:szCs w:val="20"/>
                <w:lang w:eastAsia="fr-CH"/>
              </w:rPr>
              <w:t xml:space="preserve"> </w:t>
            </w:r>
            <w:r w:rsidRPr="003F3220">
              <w:rPr>
                <w:rFonts w:eastAsiaTheme="minorEastAsia"/>
                <w:sz w:val="20"/>
                <w:szCs w:val="20"/>
                <w:lang w:eastAsia="fr-CH"/>
              </w:rPr>
              <w:t>; Da</w:t>
            </w:r>
            <w:r w:rsidR="00085C49" w:rsidRPr="003F3220">
              <w:rPr>
                <w:rFonts w:eastAsiaTheme="minorEastAsia"/>
                <w:sz w:val="20"/>
                <w:szCs w:val="20"/>
                <w:lang w:eastAsia="fr-CH"/>
              </w:rPr>
              <w:t>ns la mesure du possible, procéder à</w:t>
            </w:r>
            <w:r w:rsidRPr="003F3220">
              <w:rPr>
                <w:rFonts w:eastAsiaTheme="minorEastAsia"/>
                <w:sz w:val="20"/>
                <w:szCs w:val="20"/>
                <w:lang w:eastAsia="fr-CH"/>
              </w:rPr>
              <w:t xml:space="preserve"> une </w:t>
            </w:r>
            <w:r w:rsidR="00085C49" w:rsidRPr="003F3220">
              <w:rPr>
                <w:rFonts w:eastAsiaTheme="minorEastAsia"/>
                <w:sz w:val="20"/>
                <w:szCs w:val="20"/>
                <w:lang w:eastAsia="fr-CH"/>
              </w:rPr>
              <w:t xml:space="preserve">vérification </w:t>
            </w:r>
            <w:r w:rsidR="001039C5" w:rsidRPr="003F3220">
              <w:rPr>
                <w:rFonts w:eastAsiaTheme="minorEastAsia"/>
                <w:sz w:val="20"/>
                <w:szCs w:val="20"/>
                <w:lang w:eastAsia="fr-CH"/>
              </w:rPr>
              <w:t>croisée avec</w:t>
            </w:r>
            <w:r w:rsidRPr="003F3220">
              <w:rPr>
                <w:rFonts w:eastAsiaTheme="minorEastAsia"/>
                <w:sz w:val="20"/>
                <w:szCs w:val="20"/>
                <w:lang w:eastAsia="fr-CH"/>
              </w:rPr>
              <w:t xml:space="preserve"> </w:t>
            </w:r>
            <w:r w:rsidR="001039C5" w:rsidRPr="003F3220">
              <w:rPr>
                <w:rFonts w:eastAsiaTheme="minorEastAsia"/>
                <w:sz w:val="20"/>
                <w:szCs w:val="20"/>
                <w:lang w:eastAsia="fr-CH"/>
              </w:rPr>
              <w:t>d</w:t>
            </w:r>
            <w:r w:rsidRPr="003F3220">
              <w:rPr>
                <w:rFonts w:eastAsiaTheme="minorEastAsia"/>
                <w:sz w:val="20"/>
                <w:szCs w:val="20"/>
                <w:lang w:eastAsia="fr-CH"/>
              </w:rPr>
              <w:t>e</w:t>
            </w:r>
            <w:r w:rsidR="008D558D" w:rsidRPr="003F3220">
              <w:rPr>
                <w:rFonts w:eastAsiaTheme="minorEastAsia"/>
                <w:sz w:val="20"/>
                <w:szCs w:val="20"/>
                <w:lang w:eastAsia="fr-CH"/>
              </w:rPr>
              <w:t>s collègues.</w:t>
            </w:r>
          </w:p>
          <w:p w:rsidR="00D502F4" w:rsidRPr="00993F31" w:rsidRDefault="008D558D" w:rsidP="002816A3">
            <w:pPr>
              <w:spacing w:line="240" w:lineRule="auto"/>
              <w:rPr>
                <w:rFonts w:eastAsiaTheme="minorEastAsia"/>
                <w:sz w:val="20"/>
                <w:szCs w:val="20"/>
                <w:lang w:val="fr-FR" w:eastAsia="fr-CH"/>
              </w:rPr>
            </w:pP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>Il pourrait y avoir une certaine résistance au sein de l’</w:t>
            </w:r>
            <w:r w:rsidR="007117CF"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organisation </w:t>
            </w:r>
            <w:r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en ce qui concerne la collaboration avec le secteur privé ; ceci pourrait </w:t>
            </w:r>
            <w:r w:rsidR="002816A3">
              <w:rPr>
                <w:rFonts w:eastAsiaTheme="minorEastAsia"/>
                <w:sz w:val="20"/>
                <w:szCs w:val="20"/>
                <w:lang w:val="fr-FR" w:eastAsia="fr-CH"/>
              </w:rPr>
              <w:t>limiter</w:t>
            </w:r>
            <w:r w:rsidR="007117CF" w:rsidRPr="00993F31">
              <w:rPr>
                <w:rFonts w:eastAsiaTheme="minorEastAsia"/>
                <w:sz w:val="20"/>
                <w:szCs w:val="20"/>
                <w:lang w:val="fr-FR" w:eastAsia="fr-CH"/>
              </w:rPr>
              <w:t xml:space="preserve"> les résultats de la formation et la mise en œuvre de la stratégie.</w:t>
            </w:r>
          </w:p>
        </w:tc>
      </w:tr>
      <w:tr w:rsidR="008B6CE8" w:rsidRPr="00993F31" w:rsidTr="00CF1A6E">
        <w:trPr>
          <w:trHeight w:val="547"/>
        </w:trPr>
        <w:tc>
          <w:tcPr>
            <w:tcW w:w="1908" w:type="dxa"/>
            <w:shd w:val="clear" w:color="auto" w:fill="DBE5F1" w:themeFill="accent1" w:themeFillTint="33"/>
          </w:tcPr>
          <w:p w:rsidR="008B6CE8" w:rsidRPr="00993F31" w:rsidRDefault="007117CF" w:rsidP="007117CF">
            <w:pPr>
              <w:tabs>
                <w:tab w:val="left" w:pos="3960"/>
              </w:tabs>
              <w:spacing w:line="240" w:lineRule="auto"/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</w:pPr>
            <w:r w:rsidRPr="00993F31"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  <w:t>Plan d'analyse - questions</w:t>
            </w:r>
          </w:p>
        </w:tc>
        <w:tc>
          <w:tcPr>
            <w:tcW w:w="7272" w:type="dxa"/>
            <w:shd w:val="clear" w:color="auto" w:fill="FFFFFF" w:themeFill="background1"/>
          </w:tcPr>
          <w:p w:rsidR="008D558D" w:rsidRPr="00993F31" w:rsidRDefault="008D558D" w:rsidP="008D558D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993F31">
              <w:rPr>
                <w:sz w:val="20"/>
                <w:szCs w:val="20"/>
                <w:lang w:val="fr-FR"/>
              </w:rPr>
              <w:t xml:space="preserve">Cet indicateur offre l’occasion de réfléchir sur les questions suivantes dans les rapports narratifs </w:t>
            </w:r>
            <w:r w:rsidR="00652593">
              <w:rPr>
                <w:sz w:val="20"/>
                <w:szCs w:val="20"/>
                <w:lang w:val="fr-FR"/>
              </w:rPr>
              <w:t>semestriels</w:t>
            </w:r>
            <w:r w:rsidR="00CF1A6E" w:rsidRPr="00993F31">
              <w:rPr>
                <w:sz w:val="20"/>
                <w:szCs w:val="20"/>
                <w:lang w:val="fr-FR"/>
              </w:rPr>
              <w:t xml:space="preserve"> </w:t>
            </w:r>
            <w:r w:rsidRPr="00993F31">
              <w:rPr>
                <w:sz w:val="20"/>
                <w:szCs w:val="20"/>
                <w:lang w:val="fr-FR"/>
              </w:rPr>
              <w:t>:</w:t>
            </w:r>
          </w:p>
          <w:p w:rsidR="008D558D" w:rsidRPr="00993F31" w:rsidRDefault="008D558D" w:rsidP="008D558D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  <w:p w:rsidR="008D558D" w:rsidRPr="00993F31" w:rsidRDefault="008D558D" w:rsidP="008D558D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993F31">
              <w:rPr>
                <w:sz w:val="20"/>
                <w:szCs w:val="20"/>
                <w:lang w:val="fr-FR"/>
              </w:rPr>
              <w:t xml:space="preserve">Dans quelle mesure la nouvelle stratégie de </w:t>
            </w:r>
            <w:proofErr w:type="spellStart"/>
            <w:r w:rsidRPr="00993F31">
              <w:rPr>
                <w:sz w:val="20"/>
                <w:szCs w:val="20"/>
                <w:lang w:val="fr-FR"/>
              </w:rPr>
              <w:t>Tdh</w:t>
            </w:r>
            <w:proofErr w:type="spellEnd"/>
            <w:r w:rsidRPr="00993F31">
              <w:rPr>
                <w:sz w:val="20"/>
                <w:szCs w:val="20"/>
                <w:lang w:val="fr-FR"/>
              </w:rPr>
              <w:t xml:space="preserve"> a-t-elle été assimilée par le personnel à tous les niveaux de </w:t>
            </w:r>
            <w:r w:rsidR="00CF1A6E" w:rsidRPr="00993F31">
              <w:rPr>
                <w:sz w:val="20"/>
                <w:szCs w:val="20"/>
                <w:lang w:val="fr-FR"/>
              </w:rPr>
              <w:t>l’organisation ?</w:t>
            </w:r>
          </w:p>
          <w:p w:rsidR="008D558D" w:rsidRPr="00993F31" w:rsidRDefault="008D558D" w:rsidP="008D558D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993F31">
              <w:rPr>
                <w:sz w:val="20"/>
                <w:szCs w:val="20"/>
                <w:lang w:val="fr-FR"/>
              </w:rPr>
              <w:t>Dans quelle mesure les perceptions ont-elles changé en ce qui concerne la collaboration avec le secteur privé (</w:t>
            </w:r>
            <w:r w:rsidR="00652593">
              <w:rPr>
                <w:sz w:val="20"/>
                <w:szCs w:val="20"/>
                <w:lang w:val="fr-FR"/>
              </w:rPr>
              <w:t xml:space="preserve">c.-à-d. le secteur privé fait </w:t>
            </w:r>
            <w:r w:rsidRPr="00993F31">
              <w:rPr>
                <w:sz w:val="20"/>
                <w:szCs w:val="20"/>
                <w:lang w:val="fr-FR"/>
              </w:rPr>
              <w:t>partie de la solution et non du problème)</w:t>
            </w:r>
            <w:r w:rsidR="00CF1A6E" w:rsidRPr="00993F31">
              <w:rPr>
                <w:sz w:val="20"/>
                <w:szCs w:val="20"/>
                <w:lang w:val="fr-FR"/>
              </w:rPr>
              <w:t xml:space="preserve"> </w:t>
            </w:r>
            <w:r w:rsidRPr="00993F31">
              <w:rPr>
                <w:sz w:val="20"/>
                <w:szCs w:val="20"/>
                <w:lang w:val="fr-FR"/>
              </w:rPr>
              <w:t>?</w:t>
            </w:r>
          </w:p>
          <w:p w:rsidR="008D558D" w:rsidRPr="00993F31" w:rsidRDefault="001D0ACD" w:rsidP="008D558D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993F31">
              <w:rPr>
                <w:sz w:val="20"/>
                <w:szCs w:val="20"/>
                <w:lang w:val="fr-FR"/>
              </w:rPr>
              <w:t xml:space="preserve">A quel point </w:t>
            </w:r>
            <w:proofErr w:type="spellStart"/>
            <w:r w:rsidRPr="00993F31">
              <w:rPr>
                <w:sz w:val="20"/>
                <w:szCs w:val="20"/>
                <w:lang w:val="fr-FR"/>
              </w:rPr>
              <w:t>Tdh</w:t>
            </w:r>
            <w:proofErr w:type="spellEnd"/>
            <w:r w:rsidRPr="00993F31">
              <w:rPr>
                <w:sz w:val="20"/>
                <w:szCs w:val="20"/>
                <w:lang w:val="fr-FR"/>
              </w:rPr>
              <w:t xml:space="preserve"> est-elle mieux préparé</w:t>
            </w:r>
            <w:r w:rsidR="00CF1A6E" w:rsidRPr="00993F31">
              <w:rPr>
                <w:sz w:val="20"/>
                <w:szCs w:val="20"/>
                <w:lang w:val="fr-FR"/>
              </w:rPr>
              <w:t>e</w:t>
            </w:r>
            <w:r w:rsidRPr="00993F31">
              <w:rPr>
                <w:sz w:val="20"/>
                <w:szCs w:val="20"/>
                <w:lang w:val="fr-FR"/>
              </w:rPr>
              <w:t xml:space="preserve"> pour</w:t>
            </w:r>
            <w:r w:rsidR="008D558D" w:rsidRPr="00993F31">
              <w:rPr>
                <w:sz w:val="20"/>
                <w:szCs w:val="20"/>
                <w:lang w:val="fr-FR"/>
              </w:rPr>
              <w:t xml:space="preserve"> collaborer avec le secteur privé en tant que partenaire dans la conception et la mise en œuvre de projets</w:t>
            </w:r>
            <w:r w:rsidR="00CF1A6E" w:rsidRPr="00993F31">
              <w:rPr>
                <w:sz w:val="20"/>
                <w:szCs w:val="20"/>
                <w:lang w:val="fr-FR"/>
              </w:rPr>
              <w:t xml:space="preserve"> </w:t>
            </w:r>
            <w:r w:rsidR="008D558D" w:rsidRPr="00993F31">
              <w:rPr>
                <w:sz w:val="20"/>
                <w:szCs w:val="20"/>
                <w:lang w:val="fr-FR"/>
              </w:rPr>
              <w:t>?</w:t>
            </w:r>
          </w:p>
          <w:p w:rsidR="008D558D" w:rsidRPr="00993F31" w:rsidRDefault="008D558D" w:rsidP="008D558D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993F31">
              <w:rPr>
                <w:sz w:val="20"/>
                <w:szCs w:val="20"/>
                <w:lang w:val="fr-FR"/>
              </w:rPr>
              <w:t xml:space="preserve">Les outils et les lignes directrices sont-ils </w:t>
            </w:r>
            <w:r w:rsidR="001D0ACD" w:rsidRPr="00993F31">
              <w:rPr>
                <w:sz w:val="20"/>
                <w:szCs w:val="20"/>
                <w:lang w:val="fr-FR"/>
              </w:rPr>
              <w:t xml:space="preserve">continuellement </w:t>
            </w:r>
            <w:r w:rsidRPr="00993F31">
              <w:rPr>
                <w:sz w:val="20"/>
                <w:szCs w:val="20"/>
                <w:lang w:val="fr-FR"/>
              </w:rPr>
              <w:t xml:space="preserve">adaptés au personnel et aux projets de </w:t>
            </w:r>
            <w:proofErr w:type="spellStart"/>
            <w:r w:rsidRPr="00993F31">
              <w:rPr>
                <w:sz w:val="20"/>
                <w:szCs w:val="20"/>
                <w:lang w:val="fr-FR"/>
              </w:rPr>
              <w:t>Tdh</w:t>
            </w:r>
            <w:proofErr w:type="spellEnd"/>
            <w:r w:rsidR="00CF1A6E" w:rsidRPr="00993F31">
              <w:rPr>
                <w:sz w:val="20"/>
                <w:szCs w:val="20"/>
                <w:lang w:val="fr-FR"/>
              </w:rPr>
              <w:t xml:space="preserve"> </w:t>
            </w:r>
            <w:r w:rsidRPr="00993F31">
              <w:rPr>
                <w:sz w:val="20"/>
                <w:szCs w:val="20"/>
                <w:lang w:val="fr-FR"/>
              </w:rPr>
              <w:t>?</w:t>
            </w:r>
          </w:p>
          <w:p w:rsidR="008D558D" w:rsidRPr="00993F31" w:rsidRDefault="001D0ACD" w:rsidP="008D558D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rPr>
                <w:sz w:val="20"/>
                <w:szCs w:val="20"/>
                <w:lang w:val="fr-FR"/>
              </w:rPr>
            </w:pPr>
            <w:proofErr w:type="spellStart"/>
            <w:r w:rsidRPr="00993F31">
              <w:rPr>
                <w:sz w:val="20"/>
                <w:szCs w:val="20"/>
                <w:lang w:val="fr-FR"/>
              </w:rPr>
              <w:t>Tdh</w:t>
            </w:r>
            <w:proofErr w:type="spellEnd"/>
            <w:r w:rsidRPr="00993F31">
              <w:rPr>
                <w:sz w:val="20"/>
                <w:szCs w:val="20"/>
                <w:lang w:val="fr-FR"/>
              </w:rPr>
              <w:t xml:space="preserve"> a-t-elle du succès dans sa collaboration avec</w:t>
            </w:r>
            <w:r w:rsidR="008D558D" w:rsidRPr="00993F31">
              <w:rPr>
                <w:sz w:val="20"/>
                <w:szCs w:val="20"/>
                <w:lang w:val="fr-FR"/>
              </w:rPr>
              <w:t xml:space="preserve"> le secteur privé</w:t>
            </w:r>
            <w:r w:rsidR="00CF1A6E" w:rsidRPr="00993F31">
              <w:rPr>
                <w:sz w:val="20"/>
                <w:szCs w:val="20"/>
                <w:lang w:val="fr-FR"/>
              </w:rPr>
              <w:t xml:space="preserve"> </w:t>
            </w:r>
            <w:r w:rsidR="008D558D" w:rsidRPr="00993F31">
              <w:rPr>
                <w:sz w:val="20"/>
                <w:szCs w:val="20"/>
                <w:lang w:val="fr-FR"/>
              </w:rPr>
              <w:t>?</w:t>
            </w:r>
          </w:p>
          <w:p w:rsidR="001D251C" w:rsidRPr="00993F31" w:rsidRDefault="008D558D" w:rsidP="00CF1A6E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993F31">
              <w:rPr>
                <w:sz w:val="20"/>
                <w:szCs w:val="20"/>
                <w:lang w:val="fr-FR"/>
              </w:rPr>
              <w:t>Le</w:t>
            </w:r>
            <w:r w:rsidR="00652593">
              <w:rPr>
                <w:sz w:val="20"/>
                <w:szCs w:val="20"/>
                <w:lang w:val="fr-FR"/>
              </w:rPr>
              <w:t xml:space="preserve"> guide </w:t>
            </w:r>
            <w:r w:rsidRPr="00993F31">
              <w:rPr>
                <w:sz w:val="20"/>
                <w:szCs w:val="20"/>
                <w:lang w:val="fr-FR"/>
              </w:rPr>
              <w:t>et la boîte à outils répondent-elles au besoin d'atténuer les risques inhérents à la nouvelle stratégie</w:t>
            </w:r>
            <w:r w:rsidR="00CF1A6E" w:rsidRPr="00993F31">
              <w:rPr>
                <w:sz w:val="20"/>
                <w:szCs w:val="20"/>
                <w:lang w:val="fr-FR"/>
              </w:rPr>
              <w:t xml:space="preserve"> </w:t>
            </w:r>
            <w:r w:rsidRPr="00993F31">
              <w:rPr>
                <w:sz w:val="20"/>
                <w:szCs w:val="20"/>
                <w:lang w:val="fr-FR"/>
              </w:rPr>
              <w:t>?</w:t>
            </w:r>
          </w:p>
          <w:p w:rsidR="00CF1A6E" w:rsidRPr="00993F31" w:rsidRDefault="00CF1A6E" w:rsidP="00CF1A6E">
            <w:pPr>
              <w:pStyle w:val="Paragraphedeliste"/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8B6CE8" w:rsidRPr="00993F31" w:rsidTr="00CF1A6E">
        <w:tc>
          <w:tcPr>
            <w:tcW w:w="1908" w:type="dxa"/>
            <w:shd w:val="clear" w:color="auto" w:fill="DBE5F1" w:themeFill="accent1" w:themeFillTint="33"/>
          </w:tcPr>
          <w:p w:rsidR="008B6CE8" w:rsidRPr="00993F31" w:rsidRDefault="008B6CE8" w:rsidP="00C147AF">
            <w:pPr>
              <w:tabs>
                <w:tab w:val="left" w:pos="3960"/>
              </w:tabs>
              <w:spacing w:line="240" w:lineRule="auto"/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</w:pPr>
            <w:r w:rsidRPr="00993F31"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  <w:t>Res</w:t>
            </w:r>
            <w:r w:rsidR="007117CF" w:rsidRPr="00993F31"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  <w:t>s</w:t>
            </w:r>
            <w:r w:rsidRPr="00993F31"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  <w:t>ources</w:t>
            </w:r>
          </w:p>
          <w:p w:rsidR="008B6CE8" w:rsidRPr="00993F31" w:rsidRDefault="008B6CE8" w:rsidP="00C147AF">
            <w:pPr>
              <w:tabs>
                <w:tab w:val="left" w:pos="3960"/>
              </w:tabs>
              <w:spacing w:line="240" w:lineRule="auto"/>
              <w:rPr>
                <w:rFonts w:ascii="Calibri" w:eastAsia="Calibri" w:hAnsi="Calibri" w:cs="Calibri"/>
                <w:b/>
                <w:bCs/>
                <w:szCs w:val="20"/>
                <w:lang w:val="fr-FR" w:eastAsia="fr-FR"/>
              </w:rPr>
            </w:pPr>
          </w:p>
        </w:tc>
        <w:tc>
          <w:tcPr>
            <w:tcW w:w="7272" w:type="dxa"/>
            <w:shd w:val="clear" w:color="auto" w:fill="FFFFFF" w:themeFill="background1"/>
          </w:tcPr>
          <w:p w:rsidR="00CF1A6E" w:rsidRPr="00993F31" w:rsidRDefault="00CF1A6E" w:rsidP="00CF1A6E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bookmarkStart w:id="0" w:name="_GoBack"/>
            <w:r w:rsidRPr="00993F31">
              <w:rPr>
                <w:sz w:val="20"/>
                <w:szCs w:val="20"/>
                <w:lang w:val="fr-FR"/>
              </w:rPr>
              <w:t>Ressources humaines :</w:t>
            </w:r>
          </w:p>
          <w:p w:rsidR="00CF1A6E" w:rsidRPr="00993F31" w:rsidRDefault="00CF1A6E" w:rsidP="00CF1A6E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  <w:p w:rsidR="00CF1A6E" w:rsidRPr="00652593" w:rsidRDefault="00CF1A6E" w:rsidP="00652593">
            <w:pPr>
              <w:pStyle w:val="Paragraphedeliste"/>
              <w:numPr>
                <w:ilvl w:val="0"/>
                <w:numId w:val="37"/>
              </w:num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993F31">
              <w:rPr>
                <w:sz w:val="20"/>
                <w:szCs w:val="20"/>
                <w:lang w:val="fr-FR"/>
              </w:rPr>
              <w:t>Coord</w:t>
            </w:r>
            <w:r w:rsidR="00652593">
              <w:rPr>
                <w:sz w:val="20"/>
                <w:szCs w:val="20"/>
                <w:lang w:val="fr-FR"/>
              </w:rPr>
              <w:t>i</w:t>
            </w:r>
            <w:r w:rsidRPr="00993F31">
              <w:rPr>
                <w:sz w:val="20"/>
                <w:szCs w:val="20"/>
                <w:lang w:val="fr-FR"/>
              </w:rPr>
              <w:t>nateur régional</w:t>
            </w:r>
            <w:r w:rsidR="00652593">
              <w:rPr>
                <w:sz w:val="20"/>
                <w:szCs w:val="20"/>
                <w:lang w:val="fr-FR"/>
              </w:rPr>
              <w:t xml:space="preserve"> du</w:t>
            </w:r>
            <w:r w:rsidRPr="00993F31">
              <w:rPr>
                <w:sz w:val="20"/>
                <w:szCs w:val="20"/>
                <w:lang w:val="fr-FR"/>
              </w:rPr>
              <w:t xml:space="preserve"> </w:t>
            </w:r>
            <w:r w:rsidR="00652593" w:rsidRPr="00652593">
              <w:rPr>
                <w:sz w:val="20"/>
                <w:szCs w:val="20"/>
                <w:lang w:val="fr-FR"/>
              </w:rPr>
              <w:t>programme Lutte contre l’exploitation des enfants</w:t>
            </w:r>
            <w:r w:rsidR="00652593">
              <w:rPr>
                <w:sz w:val="20"/>
                <w:szCs w:val="20"/>
                <w:lang w:val="fr-FR"/>
              </w:rPr>
              <w:t xml:space="preserve"> </w:t>
            </w:r>
            <w:r w:rsidRPr="00652593">
              <w:rPr>
                <w:sz w:val="20"/>
                <w:szCs w:val="20"/>
                <w:lang w:val="fr-FR"/>
              </w:rPr>
              <w:t>(1 jour/mois pour tous les indicateurs du résultat 2)</w:t>
            </w:r>
          </w:p>
          <w:p w:rsidR="00CF1A6E" w:rsidRPr="00993F31" w:rsidRDefault="00CF1A6E" w:rsidP="00CF1A6E">
            <w:pPr>
              <w:pStyle w:val="Paragraphedeliste"/>
              <w:numPr>
                <w:ilvl w:val="0"/>
                <w:numId w:val="37"/>
              </w:num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993F31">
              <w:rPr>
                <w:sz w:val="20"/>
                <w:szCs w:val="20"/>
                <w:lang w:val="fr-FR"/>
              </w:rPr>
              <w:t xml:space="preserve">Conseiller </w:t>
            </w:r>
            <w:r w:rsidR="00652593">
              <w:rPr>
                <w:sz w:val="20"/>
                <w:szCs w:val="20"/>
                <w:lang w:val="fr-FR"/>
              </w:rPr>
              <w:t>du</w:t>
            </w:r>
            <w:r w:rsidR="00652593" w:rsidRPr="00993F31">
              <w:rPr>
                <w:sz w:val="20"/>
                <w:szCs w:val="20"/>
                <w:lang w:val="fr-FR"/>
              </w:rPr>
              <w:t xml:space="preserve"> </w:t>
            </w:r>
            <w:r w:rsidR="00652593" w:rsidRPr="00652593">
              <w:rPr>
                <w:sz w:val="20"/>
                <w:szCs w:val="20"/>
                <w:lang w:val="fr-FR"/>
              </w:rPr>
              <w:t>programme Lutte contre l’exploitation des enfants</w:t>
            </w:r>
            <w:r w:rsidR="00652593">
              <w:rPr>
                <w:sz w:val="20"/>
                <w:szCs w:val="20"/>
                <w:lang w:val="fr-FR"/>
              </w:rPr>
              <w:t xml:space="preserve"> </w:t>
            </w:r>
            <w:r w:rsidRPr="00993F31">
              <w:rPr>
                <w:sz w:val="20"/>
                <w:szCs w:val="20"/>
                <w:lang w:val="fr-FR"/>
              </w:rPr>
              <w:t>(2 jours/mois pour tous les indicateurs du résultat 2)</w:t>
            </w:r>
          </w:p>
          <w:p w:rsidR="00CF1A6E" w:rsidRPr="003F3220" w:rsidRDefault="00CF1A6E" w:rsidP="003F3220">
            <w:pPr>
              <w:pStyle w:val="Paragraphedeliste"/>
              <w:numPr>
                <w:ilvl w:val="0"/>
                <w:numId w:val="37"/>
              </w:num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993F31">
              <w:rPr>
                <w:sz w:val="20"/>
                <w:szCs w:val="20"/>
                <w:lang w:val="fr-FR"/>
              </w:rPr>
              <w:t xml:space="preserve">Responsable </w:t>
            </w:r>
            <w:r w:rsidR="00652593">
              <w:rPr>
                <w:sz w:val="20"/>
                <w:szCs w:val="20"/>
                <w:lang w:val="fr-FR"/>
              </w:rPr>
              <w:t>du</w:t>
            </w:r>
            <w:r w:rsidR="00652593" w:rsidRPr="00993F31">
              <w:rPr>
                <w:sz w:val="20"/>
                <w:szCs w:val="20"/>
                <w:lang w:val="fr-FR"/>
              </w:rPr>
              <w:t xml:space="preserve"> </w:t>
            </w:r>
            <w:r w:rsidR="00652593" w:rsidRPr="00652593">
              <w:rPr>
                <w:sz w:val="20"/>
                <w:szCs w:val="20"/>
                <w:lang w:val="fr-FR"/>
              </w:rPr>
              <w:t>programme Lutte contre l’exploitation des enfants</w:t>
            </w:r>
            <w:r w:rsidR="00652593">
              <w:rPr>
                <w:sz w:val="20"/>
                <w:szCs w:val="20"/>
                <w:lang w:val="fr-FR"/>
              </w:rPr>
              <w:t xml:space="preserve"> </w:t>
            </w:r>
            <w:r w:rsidRPr="00993F31">
              <w:rPr>
                <w:sz w:val="20"/>
                <w:szCs w:val="20"/>
                <w:lang w:val="fr-FR"/>
              </w:rPr>
              <w:t>(1 jour/mois pour tous les indicateurs du résultat 2)</w:t>
            </w:r>
            <w:bookmarkEnd w:id="0"/>
          </w:p>
        </w:tc>
      </w:tr>
    </w:tbl>
    <w:p w:rsidR="002F1B11" w:rsidRPr="00993F31" w:rsidRDefault="002F1B11" w:rsidP="008D558D">
      <w:pPr>
        <w:spacing w:after="0" w:line="240" w:lineRule="auto"/>
        <w:rPr>
          <w:sz w:val="20"/>
          <w:szCs w:val="20"/>
          <w:lang w:val="fr-FR"/>
        </w:rPr>
      </w:pPr>
      <w:r w:rsidRPr="00993F31">
        <w:rPr>
          <w:sz w:val="20"/>
          <w:szCs w:val="20"/>
          <w:lang w:val="fr-FR"/>
        </w:rPr>
        <w:t xml:space="preserve"> </w:t>
      </w:r>
    </w:p>
    <w:sectPr w:rsidR="002F1B11" w:rsidRPr="00993F31" w:rsidSect="000764A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752" w:rsidRDefault="006E4752" w:rsidP="00691A2B">
      <w:pPr>
        <w:spacing w:after="0" w:line="240" w:lineRule="auto"/>
      </w:pPr>
      <w:r>
        <w:separator/>
      </w:r>
    </w:p>
  </w:endnote>
  <w:endnote w:type="continuationSeparator" w:id="0">
    <w:p w:rsidR="006E4752" w:rsidRDefault="006E4752" w:rsidP="0069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SansMT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752" w:rsidRDefault="006E4752" w:rsidP="00691A2B">
      <w:pPr>
        <w:spacing w:after="0" w:line="240" w:lineRule="auto"/>
      </w:pPr>
      <w:r>
        <w:separator/>
      </w:r>
    </w:p>
  </w:footnote>
  <w:footnote w:type="continuationSeparator" w:id="0">
    <w:p w:rsidR="006E4752" w:rsidRDefault="006E4752" w:rsidP="00691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F31" w:rsidRPr="00691A2B" w:rsidRDefault="00993F31" w:rsidP="001D4FF8">
    <w:pPr>
      <w:pStyle w:val="En-tte"/>
      <w:jc w:val="right"/>
      <w:rPr>
        <w:i/>
      </w:rPr>
    </w:pPr>
    <w:r w:rsidRPr="00691A2B">
      <w:rPr>
        <w:i/>
        <w:noProof/>
        <w:lang w:val="en-US"/>
      </w:rPr>
      <w:drawing>
        <wp:anchor distT="0" distB="0" distL="114300" distR="114300" simplePos="0" relativeHeight="251659264" behindDoc="0" locked="0" layoutInCell="1" allowOverlap="1" wp14:anchorId="028FB5F9" wp14:editId="5E44C887">
          <wp:simplePos x="0" y="0"/>
          <wp:positionH relativeFrom="margin">
            <wp:posOffset>-85725</wp:posOffset>
          </wp:positionH>
          <wp:positionV relativeFrom="margin">
            <wp:posOffset>-534670</wp:posOffset>
          </wp:positionV>
          <wp:extent cx="1604010" cy="277495"/>
          <wp:effectExtent l="0" t="0" r="0" b="8255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010" cy="277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4ECF"/>
    <w:multiLevelType w:val="hybridMultilevel"/>
    <w:tmpl w:val="CC7EB17E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612E5"/>
    <w:multiLevelType w:val="hybridMultilevel"/>
    <w:tmpl w:val="4792102C"/>
    <w:lvl w:ilvl="0" w:tplc="830833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805BFA"/>
    <w:multiLevelType w:val="hybridMultilevel"/>
    <w:tmpl w:val="B74C7B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C66275"/>
    <w:multiLevelType w:val="hybridMultilevel"/>
    <w:tmpl w:val="0046E52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3C92A71"/>
    <w:multiLevelType w:val="hybridMultilevel"/>
    <w:tmpl w:val="DFA8F37C"/>
    <w:lvl w:ilvl="0" w:tplc="84AC605C">
      <w:start w:val="1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39798C"/>
    <w:multiLevelType w:val="hybridMultilevel"/>
    <w:tmpl w:val="A16E7220"/>
    <w:lvl w:ilvl="0" w:tplc="566E32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F79646" w:themeColor="accent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F114A"/>
    <w:multiLevelType w:val="hybridMultilevel"/>
    <w:tmpl w:val="31641F02"/>
    <w:lvl w:ilvl="0" w:tplc="A302F330">
      <w:numFmt w:val="bullet"/>
      <w:lvlText w:val=""/>
      <w:lvlJc w:val="left"/>
      <w:pPr>
        <w:ind w:left="1068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BEF65D8"/>
    <w:multiLevelType w:val="hybridMultilevel"/>
    <w:tmpl w:val="AFA4B312"/>
    <w:lvl w:ilvl="0" w:tplc="100C0017">
      <w:start w:val="1"/>
      <w:numFmt w:val="lowerLetter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1FDE4944"/>
    <w:multiLevelType w:val="hybridMultilevel"/>
    <w:tmpl w:val="D49C1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D3D54"/>
    <w:multiLevelType w:val="hybridMultilevel"/>
    <w:tmpl w:val="0BE252C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F6A39"/>
    <w:multiLevelType w:val="hybridMultilevel"/>
    <w:tmpl w:val="041E4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759A8"/>
    <w:multiLevelType w:val="hybridMultilevel"/>
    <w:tmpl w:val="9158622E"/>
    <w:lvl w:ilvl="0" w:tplc="589495F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54" w:hanging="360"/>
      </w:pPr>
    </w:lvl>
    <w:lvl w:ilvl="2" w:tplc="100C001B" w:tentative="1">
      <w:start w:val="1"/>
      <w:numFmt w:val="lowerRoman"/>
      <w:lvlText w:val="%3."/>
      <w:lvlJc w:val="right"/>
      <w:pPr>
        <w:ind w:left="2374" w:hanging="180"/>
      </w:pPr>
    </w:lvl>
    <w:lvl w:ilvl="3" w:tplc="100C000F" w:tentative="1">
      <w:start w:val="1"/>
      <w:numFmt w:val="decimal"/>
      <w:lvlText w:val="%4."/>
      <w:lvlJc w:val="left"/>
      <w:pPr>
        <w:ind w:left="3094" w:hanging="360"/>
      </w:pPr>
    </w:lvl>
    <w:lvl w:ilvl="4" w:tplc="100C0019" w:tentative="1">
      <w:start w:val="1"/>
      <w:numFmt w:val="lowerLetter"/>
      <w:lvlText w:val="%5."/>
      <w:lvlJc w:val="left"/>
      <w:pPr>
        <w:ind w:left="3814" w:hanging="360"/>
      </w:pPr>
    </w:lvl>
    <w:lvl w:ilvl="5" w:tplc="100C001B" w:tentative="1">
      <w:start w:val="1"/>
      <w:numFmt w:val="lowerRoman"/>
      <w:lvlText w:val="%6."/>
      <w:lvlJc w:val="right"/>
      <w:pPr>
        <w:ind w:left="4534" w:hanging="180"/>
      </w:pPr>
    </w:lvl>
    <w:lvl w:ilvl="6" w:tplc="100C000F" w:tentative="1">
      <w:start w:val="1"/>
      <w:numFmt w:val="decimal"/>
      <w:lvlText w:val="%7."/>
      <w:lvlJc w:val="left"/>
      <w:pPr>
        <w:ind w:left="5254" w:hanging="360"/>
      </w:pPr>
    </w:lvl>
    <w:lvl w:ilvl="7" w:tplc="100C0019" w:tentative="1">
      <w:start w:val="1"/>
      <w:numFmt w:val="lowerLetter"/>
      <w:lvlText w:val="%8."/>
      <w:lvlJc w:val="left"/>
      <w:pPr>
        <w:ind w:left="5974" w:hanging="360"/>
      </w:pPr>
    </w:lvl>
    <w:lvl w:ilvl="8" w:tplc="100C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2">
    <w:nsid w:val="2E7D2C4B"/>
    <w:multiLevelType w:val="hybridMultilevel"/>
    <w:tmpl w:val="09CC10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476339"/>
    <w:multiLevelType w:val="hybridMultilevel"/>
    <w:tmpl w:val="09B47B44"/>
    <w:lvl w:ilvl="0" w:tplc="20362F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AB0F0D"/>
    <w:multiLevelType w:val="hybridMultilevel"/>
    <w:tmpl w:val="EFD0A688"/>
    <w:lvl w:ilvl="0" w:tplc="3BC2E968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FD1653F"/>
    <w:multiLevelType w:val="hybridMultilevel"/>
    <w:tmpl w:val="C3E0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FE2410"/>
    <w:multiLevelType w:val="hybridMultilevel"/>
    <w:tmpl w:val="82C07444"/>
    <w:lvl w:ilvl="0" w:tplc="84AC605C">
      <w:start w:val="18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AC11A99"/>
    <w:multiLevelType w:val="hybridMultilevel"/>
    <w:tmpl w:val="B8564186"/>
    <w:lvl w:ilvl="0" w:tplc="4756FBE8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="GillSansMT-Italic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D70098A"/>
    <w:multiLevelType w:val="hybridMultilevel"/>
    <w:tmpl w:val="30A6CAA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D776B4"/>
    <w:multiLevelType w:val="hybridMultilevel"/>
    <w:tmpl w:val="A122485C"/>
    <w:lvl w:ilvl="0" w:tplc="45D44C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6635DA"/>
    <w:multiLevelType w:val="hybridMultilevel"/>
    <w:tmpl w:val="436CD798"/>
    <w:lvl w:ilvl="0" w:tplc="EB3289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B07E13"/>
    <w:multiLevelType w:val="hybridMultilevel"/>
    <w:tmpl w:val="0442951C"/>
    <w:lvl w:ilvl="0" w:tplc="795E71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EC3100"/>
    <w:multiLevelType w:val="hybridMultilevel"/>
    <w:tmpl w:val="CC30058E"/>
    <w:lvl w:ilvl="0" w:tplc="25B864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5310BE"/>
    <w:multiLevelType w:val="hybridMultilevel"/>
    <w:tmpl w:val="F2A084CA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607842"/>
    <w:multiLevelType w:val="hybridMultilevel"/>
    <w:tmpl w:val="21704D7E"/>
    <w:lvl w:ilvl="0" w:tplc="84AC605C">
      <w:start w:val="18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D931039"/>
    <w:multiLevelType w:val="hybridMultilevel"/>
    <w:tmpl w:val="4120D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B320B1"/>
    <w:multiLevelType w:val="hybridMultilevel"/>
    <w:tmpl w:val="2B804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4A5711"/>
    <w:multiLevelType w:val="hybridMultilevel"/>
    <w:tmpl w:val="F1EC9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D813602"/>
    <w:multiLevelType w:val="hybridMultilevel"/>
    <w:tmpl w:val="4BDA3F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F0C7BE3"/>
    <w:multiLevelType w:val="hybridMultilevel"/>
    <w:tmpl w:val="0F0C824C"/>
    <w:lvl w:ilvl="0" w:tplc="A9B29140"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70CB626F"/>
    <w:multiLevelType w:val="hybridMultilevel"/>
    <w:tmpl w:val="18AE2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145443"/>
    <w:multiLevelType w:val="hybridMultilevel"/>
    <w:tmpl w:val="909ACD78"/>
    <w:lvl w:ilvl="0" w:tplc="84AC605C">
      <w:start w:val="1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FC3A09"/>
    <w:multiLevelType w:val="hybridMultilevel"/>
    <w:tmpl w:val="71EE149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E76866"/>
    <w:multiLevelType w:val="multilevel"/>
    <w:tmpl w:val="6024A3E0"/>
    <w:lvl w:ilvl="0">
      <w:start w:val="1"/>
      <w:numFmt w:val="decimal"/>
      <w:pStyle w:val="Subtitle1"/>
      <w:lvlText w:val="%1"/>
      <w:lvlJc w:val="left"/>
      <w:pPr>
        <w:ind w:left="574" w:hanging="432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>
    <w:nsid w:val="7A9F7A1C"/>
    <w:multiLevelType w:val="hybridMultilevel"/>
    <w:tmpl w:val="C434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F52047"/>
    <w:multiLevelType w:val="hybridMultilevel"/>
    <w:tmpl w:val="FC9EF0AE"/>
    <w:lvl w:ilvl="0" w:tplc="A9B29140"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3"/>
  </w:num>
  <w:num w:numId="3">
    <w:abstractNumId w:val="11"/>
  </w:num>
  <w:num w:numId="4">
    <w:abstractNumId w:val="33"/>
  </w:num>
  <w:num w:numId="5">
    <w:abstractNumId w:val="33"/>
  </w:num>
  <w:num w:numId="6">
    <w:abstractNumId w:val="26"/>
  </w:num>
  <w:num w:numId="7">
    <w:abstractNumId w:val="8"/>
  </w:num>
  <w:num w:numId="8">
    <w:abstractNumId w:val="10"/>
  </w:num>
  <w:num w:numId="9">
    <w:abstractNumId w:val="25"/>
  </w:num>
  <w:num w:numId="10">
    <w:abstractNumId w:val="9"/>
  </w:num>
  <w:num w:numId="11">
    <w:abstractNumId w:val="27"/>
  </w:num>
  <w:num w:numId="12">
    <w:abstractNumId w:val="2"/>
  </w:num>
  <w:num w:numId="13">
    <w:abstractNumId w:val="28"/>
  </w:num>
  <w:num w:numId="14">
    <w:abstractNumId w:val="1"/>
  </w:num>
  <w:num w:numId="15">
    <w:abstractNumId w:val="18"/>
  </w:num>
  <w:num w:numId="16">
    <w:abstractNumId w:val="22"/>
  </w:num>
  <w:num w:numId="17">
    <w:abstractNumId w:val="5"/>
  </w:num>
  <w:num w:numId="18">
    <w:abstractNumId w:val="21"/>
  </w:num>
  <w:num w:numId="19">
    <w:abstractNumId w:val="0"/>
  </w:num>
  <w:num w:numId="20">
    <w:abstractNumId w:val="13"/>
  </w:num>
  <w:num w:numId="21">
    <w:abstractNumId w:val="23"/>
  </w:num>
  <w:num w:numId="22">
    <w:abstractNumId w:val="7"/>
  </w:num>
  <w:num w:numId="23">
    <w:abstractNumId w:val="12"/>
  </w:num>
  <w:num w:numId="24">
    <w:abstractNumId w:val="14"/>
  </w:num>
  <w:num w:numId="25">
    <w:abstractNumId w:val="6"/>
  </w:num>
  <w:num w:numId="26">
    <w:abstractNumId w:val="24"/>
  </w:num>
  <w:num w:numId="27">
    <w:abstractNumId w:val="3"/>
  </w:num>
  <w:num w:numId="28">
    <w:abstractNumId w:val="17"/>
  </w:num>
  <w:num w:numId="29">
    <w:abstractNumId w:val="32"/>
  </w:num>
  <w:num w:numId="30">
    <w:abstractNumId w:val="20"/>
  </w:num>
  <w:num w:numId="31">
    <w:abstractNumId w:val="16"/>
  </w:num>
  <w:num w:numId="32">
    <w:abstractNumId w:val="29"/>
  </w:num>
  <w:num w:numId="33">
    <w:abstractNumId w:val="30"/>
  </w:num>
  <w:num w:numId="34">
    <w:abstractNumId w:val="34"/>
  </w:num>
  <w:num w:numId="35">
    <w:abstractNumId w:val="15"/>
  </w:num>
  <w:num w:numId="36">
    <w:abstractNumId w:val="31"/>
  </w:num>
  <w:num w:numId="37">
    <w:abstractNumId w:val="4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Y0Nbc0MDQwMzOyMDNT0lEKTi0uzszPAykwqgUAzvxuuywAAAA="/>
  </w:docVars>
  <w:rsids>
    <w:rsidRoot w:val="00691A2B"/>
    <w:rsid w:val="00016C44"/>
    <w:rsid w:val="00020AD0"/>
    <w:rsid w:val="00022C0A"/>
    <w:rsid w:val="00027B84"/>
    <w:rsid w:val="000336DD"/>
    <w:rsid w:val="00033806"/>
    <w:rsid w:val="00035FFA"/>
    <w:rsid w:val="0003733C"/>
    <w:rsid w:val="00052658"/>
    <w:rsid w:val="0005659C"/>
    <w:rsid w:val="000576F7"/>
    <w:rsid w:val="000655D5"/>
    <w:rsid w:val="000707B5"/>
    <w:rsid w:val="000764A9"/>
    <w:rsid w:val="00081AAE"/>
    <w:rsid w:val="00085C49"/>
    <w:rsid w:val="00087BC7"/>
    <w:rsid w:val="00093D45"/>
    <w:rsid w:val="00094430"/>
    <w:rsid w:val="00097BAE"/>
    <w:rsid w:val="000A2878"/>
    <w:rsid w:val="000A6B64"/>
    <w:rsid w:val="000A74BB"/>
    <w:rsid w:val="000B536E"/>
    <w:rsid w:val="000C57F5"/>
    <w:rsid w:val="000F576E"/>
    <w:rsid w:val="000F6223"/>
    <w:rsid w:val="00101DAA"/>
    <w:rsid w:val="001039C5"/>
    <w:rsid w:val="00103CD3"/>
    <w:rsid w:val="00103DAD"/>
    <w:rsid w:val="00111386"/>
    <w:rsid w:val="00112145"/>
    <w:rsid w:val="00124402"/>
    <w:rsid w:val="001327AB"/>
    <w:rsid w:val="001429D9"/>
    <w:rsid w:val="00143347"/>
    <w:rsid w:val="00145181"/>
    <w:rsid w:val="00145E42"/>
    <w:rsid w:val="001532A2"/>
    <w:rsid w:val="001538FE"/>
    <w:rsid w:val="00163933"/>
    <w:rsid w:val="00171ADB"/>
    <w:rsid w:val="00183825"/>
    <w:rsid w:val="0018695D"/>
    <w:rsid w:val="00186DE4"/>
    <w:rsid w:val="001903E2"/>
    <w:rsid w:val="001A348F"/>
    <w:rsid w:val="001B077F"/>
    <w:rsid w:val="001B119C"/>
    <w:rsid w:val="001C0EF2"/>
    <w:rsid w:val="001C118A"/>
    <w:rsid w:val="001C1FFC"/>
    <w:rsid w:val="001D0ACD"/>
    <w:rsid w:val="001D251C"/>
    <w:rsid w:val="001D4FF8"/>
    <w:rsid w:val="001E2D8E"/>
    <w:rsid w:val="001E48FF"/>
    <w:rsid w:val="001E495A"/>
    <w:rsid w:val="001E7A52"/>
    <w:rsid w:val="001F1B4F"/>
    <w:rsid w:val="001F4429"/>
    <w:rsid w:val="001F47F4"/>
    <w:rsid w:val="001F7BB1"/>
    <w:rsid w:val="00203871"/>
    <w:rsid w:val="00204FF6"/>
    <w:rsid w:val="002053BD"/>
    <w:rsid w:val="00211878"/>
    <w:rsid w:val="002252C7"/>
    <w:rsid w:val="00246C42"/>
    <w:rsid w:val="00257D1F"/>
    <w:rsid w:val="002633DB"/>
    <w:rsid w:val="00265E69"/>
    <w:rsid w:val="0026674D"/>
    <w:rsid w:val="00280C4B"/>
    <w:rsid w:val="002816A3"/>
    <w:rsid w:val="00281C3F"/>
    <w:rsid w:val="0028235C"/>
    <w:rsid w:val="00286D03"/>
    <w:rsid w:val="00286D94"/>
    <w:rsid w:val="00292AB7"/>
    <w:rsid w:val="002934B7"/>
    <w:rsid w:val="0029735A"/>
    <w:rsid w:val="002B1639"/>
    <w:rsid w:val="002B1758"/>
    <w:rsid w:val="002C3679"/>
    <w:rsid w:val="002D0018"/>
    <w:rsid w:val="002D19C2"/>
    <w:rsid w:val="002D6659"/>
    <w:rsid w:val="002E134B"/>
    <w:rsid w:val="002F1B11"/>
    <w:rsid w:val="002F780F"/>
    <w:rsid w:val="00300437"/>
    <w:rsid w:val="003023AF"/>
    <w:rsid w:val="003053C6"/>
    <w:rsid w:val="003251D9"/>
    <w:rsid w:val="00325595"/>
    <w:rsid w:val="00326B96"/>
    <w:rsid w:val="003324CB"/>
    <w:rsid w:val="0034264A"/>
    <w:rsid w:val="00351784"/>
    <w:rsid w:val="00352374"/>
    <w:rsid w:val="003652BB"/>
    <w:rsid w:val="00370B5B"/>
    <w:rsid w:val="00395BD0"/>
    <w:rsid w:val="003A331F"/>
    <w:rsid w:val="003B30CD"/>
    <w:rsid w:val="003B7E26"/>
    <w:rsid w:val="003C0822"/>
    <w:rsid w:val="003D3EF7"/>
    <w:rsid w:val="003D4C1B"/>
    <w:rsid w:val="003E0EDD"/>
    <w:rsid w:val="003E1A1E"/>
    <w:rsid w:val="003F0405"/>
    <w:rsid w:val="003F3220"/>
    <w:rsid w:val="003F6304"/>
    <w:rsid w:val="00413950"/>
    <w:rsid w:val="00426A54"/>
    <w:rsid w:val="00434291"/>
    <w:rsid w:val="004427D2"/>
    <w:rsid w:val="0045214A"/>
    <w:rsid w:val="00455238"/>
    <w:rsid w:val="00460947"/>
    <w:rsid w:val="004657F4"/>
    <w:rsid w:val="00467828"/>
    <w:rsid w:val="00471AB6"/>
    <w:rsid w:val="004804D3"/>
    <w:rsid w:val="0049347F"/>
    <w:rsid w:val="00494A10"/>
    <w:rsid w:val="00496508"/>
    <w:rsid w:val="004A1C97"/>
    <w:rsid w:val="004A2E68"/>
    <w:rsid w:val="004A314F"/>
    <w:rsid w:val="004B3BBB"/>
    <w:rsid w:val="004B4333"/>
    <w:rsid w:val="004B47BE"/>
    <w:rsid w:val="004B7B53"/>
    <w:rsid w:val="004B7DB9"/>
    <w:rsid w:val="004C3735"/>
    <w:rsid w:val="004C4F18"/>
    <w:rsid w:val="004C5219"/>
    <w:rsid w:val="004C610C"/>
    <w:rsid w:val="004D13CC"/>
    <w:rsid w:val="004D3C24"/>
    <w:rsid w:val="004D6020"/>
    <w:rsid w:val="004E03B7"/>
    <w:rsid w:val="004E3F52"/>
    <w:rsid w:val="004E6D26"/>
    <w:rsid w:val="004F1A70"/>
    <w:rsid w:val="004F730D"/>
    <w:rsid w:val="00500C42"/>
    <w:rsid w:val="0050688B"/>
    <w:rsid w:val="00506954"/>
    <w:rsid w:val="005141F0"/>
    <w:rsid w:val="00515697"/>
    <w:rsid w:val="005200ED"/>
    <w:rsid w:val="00524D21"/>
    <w:rsid w:val="00525108"/>
    <w:rsid w:val="00525505"/>
    <w:rsid w:val="00527A60"/>
    <w:rsid w:val="00534573"/>
    <w:rsid w:val="0054713C"/>
    <w:rsid w:val="00555BD1"/>
    <w:rsid w:val="00571025"/>
    <w:rsid w:val="00571ADC"/>
    <w:rsid w:val="00572017"/>
    <w:rsid w:val="00591162"/>
    <w:rsid w:val="00591FC3"/>
    <w:rsid w:val="005B35FB"/>
    <w:rsid w:val="005B5AFF"/>
    <w:rsid w:val="005D2D1A"/>
    <w:rsid w:val="005D3408"/>
    <w:rsid w:val="005D42FC"/>
    <w:rsid w:val="005D6032"/>
    <w:rsid w:val="005E7131"/>
    <w:rsid w:val="005F6FE9"/>
    <w:rsid w:val="005F7B50"/>
    <w:rsid w:val="00601627"/>
    <w:rsid w:val="006070B3"/>
    <w:rsid w:val="0061688D"/>
    <w:rsid w:val="00617ED9"/>
    <w:rsid w:val="00631556"/>
    <w:rsid w:val="00632A47"/>
    <w:rsid w:val="006371F3"/>
    <w:rsid w:val="00641095"/>
    <w:rsid w:val="00643FE3"/>
    <w:rsid w:val="0064646A"/>
    <w:rsid w:val="00652593"/>
    <w:rsid w:val="0065617E"/>
    <w:rsid w:val="00670F29"/>
    <w:rsid w:val="0067215B"/>
    <w:rsid w:val="00691A2B"/>
    <w:rsid w:val="006A3553"/>
    <w:rsid w:val="006B43F3"/>
    <w:rsid w:val="006B79A2"/>
    <w:rsid w:val="006C173F"/>
    <w:rsid w:val="006C4126"/>
    <w:rsid w:val="006C7CD3"/>
    <w:rsid w:val="006E4752"/>
    <w:rsid w:val="006E5BBF"/>
    <w:rsid w:val="00701F93"/>
    <w:rsid w:val="00702743"/>
    <w:rsid w:val="007117CF"/>
    <w:rsid w:val="00711E60"/>
    <w:rsid w:val="00714263"/>
    <w:rsid w:val="00724491"/>
    <w:rsid w:val="00727F63"/>
    <w:rsid w:val="0073465D"/>
    <w:rsid w:val="007455D6"/>
    <w:rsid w:val="00752721"/>
    <w:rsid w:val="007549F6"/>
    <w:rsid w:val="00754D0D"/>
    <w:rsid w:val="00762832"/>
    <w:rsid w:val="00770F0B"/>
    <w:rsid w:val="0077296B"/>
    <w:rsid w:val="00773769"/>
    <w:rsid w:val="00783F38"/>
    <w:rsid w:val="00785E98"/>
    <w:rsid w:val="0078620D"/>
    <w:rsid w:val="00786B54"/>
    <w:rsid w:val="00790C26"/>
    <w:rsid w:val="007A4749"/>
    <w:rsid w:val="007A496C"/>
    <w:rsid w:val="007A7C72"/>
    <w:rsid w:val="007B3C5D"/>
    <w:rsid w:val="007B5CE5"/>
    <w:rsid w:val="007C5B33"/>
    <w:rsid w:val="007D5330"/>
    <w:rsid w:val="007E4158"/>
    <w:rsid w:val="007E4242"/>
    <w:rsid w:val="007E6004"/>
    <w:rsid w:val="0080252A"/>
    <w:rsid w:val="00805718"/>
    <w:rsid w:val="00805D10"/>
    <w:rsid w:val="008104B4"/>
    <w:rsid w:val="008120E5"/>
    <w:rsid w:val="008205F9"/>
    <w:rsid w:val="008217BE"/>
    <w:rsid w:val="00822027"/>
    <w:rsid w:val="00824551"/>
    <w:rsid w:val="00827A7A"/>
    <w:rsid w:val="00830E55"/>
    <w:rsid w:val="00843687"/>
    <w:rsid w:val="00843C5E"/>
    <w:rsid w:val="008455F9"/>
    <w:rsid w:val="008545F6"/>
    <w:rsid w:val="0086392E"/>
    <w:rsid w:val="00866643"/>
    <w:rsid w:val="0088013B"/>
    <w:rsid w:val="0088148D"/>
    <w:rsid w:val="00886125"/>
    <w:rsid w:val="008912CE"/>
    <w:rsid w:val="00896511"/>
    <w:rsid w:val="00897B5B"/>
    <w:rsid w:val="008A1063"/>
    <w:rsid w:val="008B2D48"/>
    <w:rsid w:val="008B6CE8"/>
    <w:rsid w:val="008D52BE"/>
    <w:rsid w:val="008D558D"/>
    <w:rsid w:val="008D7389"/>
    <w:rsid w:val="008E2E78"/>
    <w:rsid w:val="008E62FA"/>
    <w:rsid w:val="008E7C16"/>
    <w:rsid w:val="008F36FB"/>
    <w:rsid w:val="00900BA0"/>
    <w:rsid w:val="009063BC"/>
    <w:rsid w:val="00914207"/>
    <w:rsid w:val="009531CE"/>
    <w:rsid w:val="00953FF4"/>
    <w:rsid w:val="00957520"/>
    <w:rsid w:val="0095786F"/>
    <w:rsid w:val="0096120E"/>
    <w:rsid w:val="0097043F"/>
    <w:rsid w:val="009813E9"/>
    <w:rsid w:val="00993F31"/>
    <w:rsid w:val="0099623D"/>
    <w:rsid w:val="009B0FD1"/>
    <w:rsid w:val="009B1272"/>
    <w:rsid w:val="009B1609"/>
    <w:rsid w:val="009C5946"/>
    <w:rsid w:val="009D501E"/>
    <w:rsid w:val="009D5832"/>
    <w:rsid w:val="009E139F"/>
    <w:rsid w:val="009E2AF7"/>
    <w:rsid w:val="00A02F02"/>
    <w:rsid w:val="00A0356F"/>
    <w:rsid w:val="00A10808"/>
    <w:rsid w:val="00A15A06"/>
    <w:rsid w:val="00A25CF7"/>
    <w:rsid w:val="00A34C84"/>
    <w:rsid w:val="00A420A1"/>
    <w:rsid w:val="00A51F8D"/>
    <w:rsid w:val="00A55B32"/>
    <w:rsid w:val="00A60203"/>
    <w:rsid w:val="00A711C3"/>
    <w:rsid w:val="00A75EB3"/>
    <w:rsid w:val="00A76E1D"/>
    <w:rsid w:val="00A7720D"/>
    <w:rsid w:val="00A822D0"/>
    <w:rsid w:val="00A82EAF"/>
    <w:rsid w:val="00A90A2D"/>
    <w:rsid w:val="00A91366"/>
    <w:rsid w:val="00A92BFF"/>
    <w:rsid w:val="00AA3355"/>
    <w:rsid w:val="00AA64FB"/>
    <w:rsid w:val="00AB2D55"/>
    <w:rsid w:val="00AC0FD4"/>
    <w:rsid w:val="00AC647B"/>
    <w:rsid w:val="00AD11B1"/>
    <w:rsid w:val="00AD2DEF"/>
    <w:rsid w:val="00AF0603"/>
    <w:rsid w:val="00AF2B71"/>
    <w:rsid w:val="00AF71EC"/>
    <w:rsid w:val="00B04DE3"/>
    <w:rsid w:val="00B1416C"/>
    <w:rsid w:val="00B20C72"/>
    <w:rsid w:val="00B300A5"/>
    <w:rsid w:val="00B32716"/>
    <w:rsid w:val="00B35DC2"/>
    <w:rsid w:val="00B37E5A"/>
    <w:rsid w:val="00B41C00"/>
    <w:rsid w:val="00B61375"/>
    <w:rsid w:val="00B82655"/>
    <w:rsid w:val="00BA34E0"/>
    <w:rsid w:val="00BA36DA"/>
    <w:rsid w:val="00BA4A13"/>
    <w:rsid w:val="00BA58E8"/>
    <w:rsid w:val="00BB5482"/>
    <w:rsid w:val="00BC15F2"/>
    <w:rsid w:val="00BD5AAC"/>
    <w:rsid w:val="00BD7583"/>
    <w:rsid w:val="00BF4DAB"/>
    <w:rsid w:val="00BF5C82"/>
    <w:rsid w:val="00C007B8"/>
    <w:rsid w:val="00C030C1"/>
    <w:rsid w:val="00C10E00"/>
    <w:rsid w:val="00C147AF"/>
    <w:rsid w:val="00C20125"/>
    <w:rsid w:val="00C35426"/>
    <w:rsid w:val="00C36D0B"/>
    <w:rsid w:val="00C45981"/>
    <w:rsid w:val="00C47ABA"/>
    <w:rsid w:val="00C50F2C"/>
    <w:rsid w:val="00C5604E"/>
    <w:rsid w:val="00C82A72"/>
    <w:rsid w:val="00C84019"/>
    <w:rsid w:val="00C87F28"/>
    <w:rsid w:val="00C925B7"/>
    <w:rsid w:val="00CA0A61"/>
    <w:rsid w:val="00CB47BB"/>
    <w:rsid w:val="00CC671A"/>
    <w:rsid w:val="00CD0BC3"/>
    <w:rsid w:val="00CD30B6"/>
    <w:rsid w:val="00CD606E"/>
    <w:rsid w:val="00CD60D1"/>
    <w:rsid w:val="00CE5913"/>
    <w:rsid w:val="00CF1A6E"/>
    <w:rsid w:val="00CF36B4"/>
    <w:rsid w:val="00CF7278"/>
    <w:rsid w:val="00D039D7"/>
    <w:rsid w:val="00D04DF1"/>
    <w:rsid w:val="00D22EA2"/>
    <w:rsid w:val="00D31E43"/>
    <w:rsid w:val="00D502F4"/>
    <w:rsid w:val="00D52C9B"/>
    <w:rsid w:val="00D62B7E"/>
    <w:rsid w:val="00D666FC"/>
    <w:rsid w:val="00D70CFE"/>
    <w:rsid w:val="00D7636C"/>
    <w:rsid w:val="00D76B33"/>
    <w:rsid w:val="00D776B7"/>
    <w:rsid w:val="00D82158"/>
    <w:rsid w:val="00D84180"/>
    <w:rsid w:val="00D8541A"/>
    <w:rsid w:val="00D876E4"/>
    <w:rsid w:val="00DA5319"/>
    <w:rsid w:val="00DB2B6D"/>
    <w:rsid w:val="00DB69F0"/>
    <w:rsid w:val="00DC14D6"/>
    <w:rsid w:val="00DE2F81"/>
    <w:rsid w:val="00DE78FD"/>
    <w:rsid w:val="00DF496A"/>
    <w:rsid w:val="00E047E9"/>
    <w:rsid w:val="00E05592"/>
    <w:rsid w:val="00E062AA"/>
    <w:rsid w:val="00E06B9D"/>
    <w:rsid w:val="00E10542"/>
    <w:rsid w:val="00E11AF1"/>
    <w:rsid w:val="00E16EF2"/>
    <w:rsid w:val="00E37FF2"/>
    <w:rsid w:val="00E41C35"/>
    <w:rsid w:val="00E502FF"/>
    <w:rsid w:val="00E53B1D"/>
    <w:rsid w:val="00E53DAC"/>
    <w:rsid w:val="00E709F9"/>
    <w:rsid w:val="00E71CD6"/>
    <w:rsid w:val="00E77A8D"/>
    <w:rsid w:val="00E84B15"/>
    <w:rsid w:val="00E86D3E"/>
    <w:rsid w:val="00E96DEF"/>
    <w:rsid w:val="00EA39E4"/>
    <w:rsid w:val="00EC2F52"/>
    <w:rsid w:val="00EC5173"/>
    <w:rsid w:val="00ED0913"/>
    <w:rsid w:val="00ED67C3"/>
    <w:rsid w:val="00F12EF7"/>
    <w:rsid w:val="00F31472"/>
    <w:rsid w:val="00F3396C"/>
    <w:rsid w:val="00F4104E"/>
    <w:rsid w:val="00F50756"/>
    <w:rsid w:val="00F50AFE"/>
    <w:rsid w:val="00F54F57"/>
    <w:rsid w:val="00F62375"/>
    <w:rsid w:val="00F7243B"/>
    <w:rsid w:val="00F82D34"/>
    <w:rsid w:val="00F84997"/>
    <w:rsid w:val="00F84A43"/>
    <w:rsid w:val="00F94552"/>
    <w:rsid w:val="00FA377F"/>
    <w:rsid w:val="00FA62E2"/>
    <w:rsid w:val="00FA7FE8"/>
    <w:rsid w:val="00FB725B"/>
    <w:rsid w:val="00FC1748"/>
    <w:rsid w:val="00FC227E"/>
    <w:rsid w:val="00FC7DB0"/>
    <w:rsid w:val="00FD0991"/>
    <w:rsid w:val="00FE054F"/>
    <w:rsid w:val="00FE3BC5"/>
    <w:rsid w:val="00FE798C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A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91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1A2B"/>
  </w:style>
  <w:style w:type="paragraph" w:styleId="Pieddepage">
    <w:name w:val="footer"/>
    <w:basedOn w:val="Normal"/>
    <w:link w:val="PieddepageCar"/>
    <w:uiPriority w:val="99"/>
    <w:unhideWhenUsed/>
    <w:rsid w:val="00691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1A2B"/>
  </w:style>
  <w:style w:type="paragraph" w:styleId="Paragraphedeliste">
    <w:name w:val="List Paragraph"/>
    <w:basedOn w:val="Normal"/>
    <w:uiPriority w:val="34"/>
    <w:qFormat/>
    <w:rsid w:val="00691A2B"/>
    <w:pPr>
      <w:ind w:left="720"/>
      <w:contextualSpacing/>
    </w:pPr>
  </w:style>
  <w:style w:type="table" w:styleId="Grilledutableau">
    <w:name w:val="Table Grid"/>
    <w:basedOn w:val="TableauNormal"/>
    <w:uiPriority w:val="59"/>
    <w:rsid w:val="00691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1">
    <w:name w:val="Subtitle1"/>
    <w:basedOn w:val="Normal"/>
    <w:rsid w:val="00691A2B"/>
    <w:pPr>
      <w:numPr>
        <w:numId w:val="2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91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91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A2B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691A2B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7102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71025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71025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A34C8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34C8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34C8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F1B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F1B4F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A10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A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91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1A2B"/>
  </w:style>
  <w:style w:type="paragraph" w:styleId="Pieddepage">
    <w:name w:val="footer"/>
    <w:basedOn w:val="Normal"/>
    <w:link w:val="PieddepageCar"/>
    <w:uiPriority w:val="99"/>
    <w:unhideWhenUsed/>
    <w:rsid w:val="00691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1A2B"/>
  </w:style>
  <w:style w:type="paragraph" w:styleId="Paragraphedeliste">
    <w:name w:val="List Paragraph"/>
    <w:basedOn w:val="Normal"/>
    <w:uiPriority w:val="34"/>
    <w:qFormat/>
    <w:rsid w:val="00691A2B"/>
    <w:pPr>
      <w:ind w:left="720"/>
      <w:contextualSpacing/>
    </w:pPr>
  </w:style>
  <w:style w:type="table" w:styleId="Grilledutableau">
    <w:name w:val="Table Grid"/>
    <w:basedOn w:val="TableauNormal"/>
    <w:uiPriority w:val="59"/>
    <w:rsid w:val="00691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1">
    <w:name w:val="Subtitle1"/>
    <w:basedOn w:val="Normal"/>
    <w:rsid w:val="00691A2B"/>
    <w:pPr>
      <w:numPr>
        <w:numId w:val="2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91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91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A2B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691A2B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7102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71025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71025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A34C8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34C8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34C8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F1B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F1B4F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A10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39620-CF64-4153-8EC9-CE3C6F35C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1365</Words>
  <Characters>7782</Characters>
  <Application>Microsoft Office Word</Application>
  <DocSecurity>0</DocSecurity>
  <Lines>64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TDH</Company>
  <LinksUpToDate>false</LinksUpToDate>
  <CharactersWithSpaces>9129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Mareschal</dc:creator>
  <cp:lastModifiedBy>Anne Vennegues</cp:lastModifiedBy>
  <cp:revision>8</cp:revision>
  <cp:lastPrinted>2018-08-06T10:07:00Z</cp:lastPrinted>
  <dcterms:created xsi:type="dcterms:W3CDTF">2018-08-13T12:49:00Z</dcterms:created>
  <dcterms:modified xsi:type="dcterms:W3CDTF">2018-09-03T15:00:00Z</dcterms:modified>
</cp:coreProperties>
</file>