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5684" w14:textId="77777777" w:rsidR="00A709B6" w:rsidRDefault="007B6842" w:rsidP="00972D7C">
      <w:pPr>
        <w:autoSpaceDE w:val="0"/>
        <w:autoSpaceDN w:val="0"/>
        <w:adjustRightInd w:val="0"/>
        <w:spacing w:before="0" w:after="0" w:line="240" w:lineRule="auto"/>
        <w:jc w:val="both"/>
        <w:rPr>
          <w:rFonts w:ascii="GillSans" w:hAnsi="GillSans" w:cs="GillSans"/>
          <w:sz w:val="20"/>
        </w:rPr>
      </w:pPr>
      <w:r>
        <w:rPr>
          <w:rFonts w:ascii="Arial" w:hAnsi="Arial"/>
          <w:b/>
          <w:caps/>
          <w:color w:val="E36C0A" w:themeColor="accent6" w:themeShade="BF"/>
          <w:sz w:val="36"/>
          <w:szCs w:val="36"/>
        </w:rPr>
        <w:t>ARBRE À OBJECTIF</w:t>
      </w:r>
      <w:r>
        <w:rPr>
          <w:rFonts w:ascii="Arial" w:hAnsi="Arial"/>
          <w:b/>
          <w:bCs/>
          <w:caps/>
          <w:color w:val="E36C0A" w:themeColor="accent6" w:themeShade="BF"/>
          <w:sz w:val="36"/>
          <w:szCs w:val="36"/>
        </w:rPr>
        <w:t xml:space="preserve">   </w:t>
      </w:r>
    </w:p>
    <w:p w14:paraId="4E435685" w14:textId="77777777" w:rsidR="00A709B6" w:rsidRPr="00912B9C" w:rsidRDefault="00A709B6" w:rsidP="00972D7C">
      <w:pPr>
        <w:autoSpaceDE w:val="0"/>
        <w:autoSpaceDN w:val="0"/>
        <w:adjustRightInd w:val="0"/>
        <w:spacing w:before="0" w:after="0" w:line="240" w:lineRule="auto"/>
        <w:jc w:val="both"/>
        <w:rPr>
          <w:rFonts w:ascii="GillSans" w:hAnsi="GillSans" w:cs="GillSans"/>
          <w:sz w:val="20"/>
          <w:lang w:val="fr-CA"/>
        </w:rPr>
      </w:pPr>
    </w:p>
    <w:p w14:paraId="4E435686" w14:textId="77777777" w:rsidR="00972D7C" w:rsidRPr="00B123E8" w:rsidRDefault="00972D7C" w:rsidP="00972D7C">
      <w:pPr>
        <w:autoSpaceDE w:val="0"/>
        <w:autoSpaceDN w:val="0"/>
        <w:adjustRightInd w:val="0"/>
        <w:spacing w:before="0" w:after="0" w:line="240" w:lineRule="auto"/>
        <w:jc w:val="both"/>
        <w:rPr>
          <w:rFonts w:ascii="GillSans" w:hAnsi="GillSans" w:cs="GillSans"/>
          <w:sz w:val="20"/>
        </w:rPr>
      </w:pPr>
      <w:r>
        <w:rPr>
          <w:rFonts w:ascii="GillSans" w:hAnsi="GillSans"/>
          <w:sz w:val="20"/>
        </w:rPr>
        <w:t>Le présent outil a été conçu d’après les ouvrages suivants :</w:t>
      </w:r>
    </w:p>
    <w:p w14:paraId="4E435687" w14:textId="77777777" w:rsidR="00972D7C" w:rsidRPr="00B123E8" w:rsidRDefault="00972D7C" w:rsidP="00972D7C">
      <w:pPr>
        <w:pStyle w:val="ListParagraph"/>
        <w:numPr>
          <w:ilvl w:val="0"/>
          <w:numId w:val="11"/>
        </w:numPr>
        <w:autoSpaceDE w:val="0"/>
        <w:autoSpaceDN w:val="0"/>
        <w:adjustRightInd w:val="0"/>
        <w:spacing w:before="0" w:after="0" w:line="240" w:lineRule="auto"/>
        <w:jc w:val="both"/>
        <w:rPr>
          <w:rFonts w:ascii="GillSans" w:hAnsi="GillSans" w:cs="GillSans"/>
          <w:sz w:val="20"/>
        </w:rPr>
      </w:pPr>
      <w:r>
        <w:rPr>
          <w:rFonts w:ascii="GillSans" w:hAnsi="GillSans"/>
          <w:i/>
          <w:sz w:val="20"/>
        </w:rPr>
        <w:t>Planification de projet/programme, Manuel d’orientation</w:t>
      </w:r>
      <w:r>
        <w:rPr>
          <w:rFonts w:ascii="GillSans" w:hAnsi="GillSans"/>
          <w:sz w:val="20"/>
        </w:rPr>
        <w:t>, FICR, 2010.</w:t>
      </w:r>
    </w:p>
    <w:p w14:paraId="4E435688" w14:textId="77777777" w:rsidR="00972D7C" w:rsidRPr="00912B9C" w:rsidRDefault="004E370F" w:rsidP="00972D7C">
      <w:pPr>
        <w:pStyle w:val="ListParagraph"/>
        <w:numPr>
          <w:ilvl w:val="0"/>
          <w:numId w:val="11"/>
        </w:numPr>
        <w:autoSpaceDE w:val="0"/>
        <w:autoSpaceDN w:val="0"/>
        <w:adjustRightInd w:val="0"/>
        <w:spacing w:before="0" w:after="0" w:line="240" w:lineRule="auto"/>
        <w:jc w:val="both"/>
        <w:rPr>
          <w:rFonts w:ascii="GillSans" w:hAnsi="GillSans" w:cs="GillSans"/>
          <w:sz w:val="20"/>
          <w:lang w:val="en-CA"/>
        </w:rPr>
      </w:pPr>
      <w:r w:rsidRPr="00912B9C">
        <w:rPr>
          <w:rFonts w:ascii="GillSans" w:hAnsi="GillSans"/>
          <w:i/>
          <w:sz w:val="20"/>
          <w:lang w:val="en-CA"/>
        </w:rPr>
        <w:t>Programme/Project Management</w:t>
      </w:r>
      <w:r w:rsidRPr="00912B9C">
        <w:rPr>
          <w:rFonts w:ascii="GillSans" w:hAnsi="GillSans"/>
          <w:sz w:val="20"/>
          <w:lang w:val="en-CA"/>
        </w:rPr>
        <w:t xml:space="preserve">: </w:t>
      </w:r>
      <w:r w:rsidRPr="00912B9C">
        <w:rPr>
          <w:rFonts w:ascii="GillSans" w:hAnsi="GillSans"/>
          <w:i/>
          <w:sz w:val="20"/>
          <w:lang w:val="en-CA"/>
        </w:rPr>
        <w:t>The Results-based Approach</w:t>
      </w:r>
      <w:r w:rsidRPr="00912B9C">
        <w:rPr>
          <w:rFonts w:ascii="GillSans" w:hAnsi="GillSans"/>
          <w:sz w:val="20"/>
          <w:lang w:val="en-CA"/>
        </w:rPr>
        <w:t xml:space="preserve"> (en </w:t>
      </w:r>
      <w:proofErr w:type="spellStart"/>
      <w:r w:rsidRPr="00912B9C">
        <w:rPr>
          <w:rFonts w:ascii="GillSans" w:hAnsi="GillSans"/>
          <w:sz w:val="20"/>
          <w:lang w:val="en-CA"/>
        </w:rPr>
        <w:t>anglais</w:t>
      </w:r>
      <w:proofErr w:type="spellEnd"/>
      <w:r w:rsidRPr="00912B9C">
        <w:rPr>
          <w:rFonts w:ascii="GillSans" w:hAnsi="GillSans"/>
          <w:sz w:val="20"/>
          <w:lang w:val="en-CA"/>
        </w:rPr>
        <w:t>), CICR, 2008.</w:t>
      </w:r>
    </w:p>
    <w:p w14:paraId="4E435689" w14:textId="77777777" w:rsidR="00972D7C" w:rsidRPr="00B123E8" w:rsidRDefault="00972D7C" w:rsidP="00972D7C">
      <w:pPr>
        <w:autoSpaceDE w:val="0"/>
        <w:autoSpaceDN w:val="0"/>
        <w:adjustRightInd w:val="0"/>
        <w:spacing w:before="0" w:after="0" w:line="240" w:lineRule="auto"/>
        <w:jc w:val="both"/>
        <w:rPr>
          <w:rFonts w:ascii="GillSans" w:hAnsi="GillSans" w:cs="GillSans"/>
          <w:sz w:val="20"/>
          <w:lang w:val="en-GB"/>
        </w:rPr>
      </w:pPr>
    </w:p>
    <w:p w14:paraId="4E43568A" w14:textId="77777777" w:rsidR="00D21506" w:rsidRDefault="00D21506" w:rsidP="00012288">
      <w:pPr>
        <w:spacing w:before="0" w:after="0" w:line="240" w:lineRule="auto"/>
        <w:jc w:val="both"/>
        <w:rPr>
          <w:rFonts w:ascii="Arial" w:hAnsi="Arial" w:cs="Arial"/>
          <w:sz w:val="20"/>
          <w:lang w:val="en-GB"/>
        </w:rPr>
      </w:pPr>
    </w:p>
    <w:p w14:paraId="4E43568B" w14:textId="77777777" w:rsidR="00D21506" w:rsidRPr="00D21506" w:rsidRDefault="00D21506" w:rsidP="00D21506">
      <w:pPr>
        <w:autoSpaceDE w:val="0"/>
        <w:autoSpaceDN w:val="0"/>
        <w:adjustRightInd w:val="0"/>
        <w:spacing w:before="0" w:after="0" w:line="240" w:lineRule="auto"/>
        <w:jc w:val="both"/>
        <w:rPr>
          <w:rFonts w:ascii="Arial" w:hAnsi="Arial" w:cs="Arial"/>
          <w:sz w:val="20"/>
        </w:rPr>
      </w:pPr>
      <w:r>
        <w:rPr>
          <w:rFonts w:ascii="Arial" w:hAnsi="Arial"/>
          <w:sz w:val="20"/>
        </w:rPr>
        <w:t xml:space="preserve">L’arbre à objectif, ou arbre à solution, est utilisé </w:t>
      </w:r>
      <w:r>
        <w:rPr>
          <w:rFonts w:ascii="Arial" w:hAnsi="Arial"/>
          <w:i/>
          <w:color w:val="F79646" w:themeColor="accent6"/>
          <w:sz w:val="20"/>
        </w:rPr>
        <w:t>durant la phase de planification stratégique</w:t>
      </w:r>
      <w:r>
        <w:rPr>
          <w:rFonts w:ascii="Arial" w:hAnsi="Arial"/>
          <w:sz w:val="20"/>
        </w:rPr>
        <w:t xml:space="preserve">. Cet arbre est semblable à un arbre à problèmes, sauf qu’il concerne les objectifs plutôt que les problèmes. </w:t>
      </w:r>
    </w:p>
    <w:p w14:paraId="4E43568C" w14:textId="77777777" w:rsidR="00D21506" w:rsidRPr="00912B9C" w:rsidRDefault="00D21506" w:rsidP="00012288">
      <w:pPr>
        <w:spacing w:before="0" w:after="0" w:line="240" w:lineRule="auto"/>
        <w:jc w:val="both"/>
        <w:rPr>
          <w:rFonts w:ascii="Arial" w:hAnsi="Arial" w:cs="Arial"/>
          <w:sz w:val="20"/>
          <w:lang w:val="fr-CA"/>
        </w:rPr>
      </w:pPr>
    </w:p>
    <w:p w14:paraId="4E43568D" w14:textId="77777777" w:rsidR="00D21506" w:rsidRDefault="00D21506" w:rsidP="00012288">
      <w:pPr>
        <w:spacing w:before="0" w:after="0" w:line="240" w:lineRule="auto"/>
        <w:jc w:val="both"/>
        <w:rPr>
          <w:rFonts w:ascii="Arial" w:hAnsi="Arial" w:cs="Arial"/>
          <w:sz w:val="20"/>
        </w:rPr>
      </w:pPr>
      <w:r>
        <w:rPr>
          <w:rFonts w:ascii="Arial" w:hAnsi="Arial"/>
          <w:sz w:val="20"/>
        </w:rPr>
        <w:t xml:space="preserve">Parfois, les contextes sont très complexes et trop de problèmes ont été relevés. Il peut ainsi s’avérer difficile de définir un seul objectif par projet. Dans une telle situation, </w:t>
      </w:r>
      <w:r>
        <w:rPr>
          <w:rFonts w:ascii="Arial" w:hAnsi="Arial"/>
          <w:i/>
          <w:color w:val="F79646" w:themeColor="accent6"/>
          <w:sz w:val="20"/>
        </w:rPr>
        <w:t>on utilise couramment un « arbre à objectif » en vue d’élaborer, de définir et de choisir un objectif</w:t>
      </w:r>
      <w:r>
        <w:rPr>
          <w:rFonts w:ascii="Arial" w:hAnsi="Arial"/>
          <w:sz w:val="20"/>
        </w:rPr>
        <w:t>. Cet arbre vous permet de choisir un objectif parmi tous les objectifs potentiels de l’intervention. Pour orienter votre choix, vous devez résumer de grandes quantités de renseignements et les étudier avec soin en vue de déterminer quelle sera la meilleure marche à suivre. Dans la pratique, un certain nombre de compromis doivent souvent être faits pour équilibrer les intérêts des différents acteurs, les demandes de la population et les contraintes pratiques telles que les ressources et le temps disponibles.</w:t>
      </w:r>
    </w:p>
    <w:p w14:paraId="4E43568E" w14:textId="77777777" w:rsidR="00D21506" w:rsidRPr="00912B9C" w:rsidRDefault="00D21506" w:rsidP="00012288">
      <w:pPr>
        <w:spacing w:before="0" w:after="0" w:line="240" w:lineRule="auto"/>
        <w:jc w:val="both"/>
        <w:rPr>
          <w:rFonts w:ascii="Arial" w:hAnsi="Arial" w:cs="Arial"/>
          <w:sz w:val="20"/>
          <w:lang w:val="fr-CA"/>
        </w:rPr>
      </w:pPr>
    </w:p>
    <w:p w14:paraId="4E43568F" w14:textId="77777777" w:rsidR="00D21506" w:rsidRPr="00D21506" w:rsidRDefault="00D21506" w:rsidP="00D21506">
      <w:pPr>
        <w:autoSpaceDE w:val="0"/>
        <w:autoSpaceDN w:val="0"/>
        <w:adjustRightInd w:val="0"/>
        <w:spacing w:before="0" w:after="0" w:line="240" w:lineRule="auto"/>
        <w:jc w:val="both"/>
        <w:rPr>
          <w:rFonts w:ascii="Arial" w:hAnsi="Arial" w:cs="Arial"/>
          <w:sz w:val="20"/>
        </w:rPr>
      </w:pPr>
      <w:r>
        <w:rPr>
          <w:rFonts w:ascii="Arial" w:hAnsi="Arial"/>
          <w:sz w:val="20"/>
        </w:rPr>
        <w:t xml:space="preserve">L’arbre à objectif est un outil qui sert simplement à </w:t>
      </w:r>
      <w:r>
        <w:rPr>
          <w:rFonts w:ascii="Arial" w:hAnsi="Arial"/>
          <w:i/>
          <w:color w:val="F79646" w:themeColor="accent6"/>
          <w:sz w:val="20"/>
        </w:rPr>
        <w:t>faciliter l’analyse et la présentation des idées</w:t>
      </w:r>
      <w:r>
        <w:rPr>
          <w:rFonts w:ascii="Arial" w:hAnsi="Arial"/>
          <w:sz w:val="20"/>
        </w:rPr>
        <w:t>. Il permet de veiller à ce que l’analyse des objectifs potentiels du projet reste centrée sur une variété de problèmes prioritaires clairement identifiés, ce qui constitue sa principale force.</w:t>
      </w:r>
    </w:p>
    <w:p w14:paraId="4E435690" w14:textId="77777777" w:rsidR="00350920" w:rsidRPr="00912B9C" w:rsidRDefault="00350920" w:rsidP="00611933">
      <w:pPr>
        <w:autoSpaceDE w:val="0"/>
        <w:autoSpaceDN w:val="0"/>
        <w:adjustRightInd w:val="0"/>
        <w:spacing w:before="0" w:after="0" w:line="240" w:lineRule="auto"/>
        <w:rPr>
          <w:rFonts w:ascii="GillSans" w:hAnsi="GillSans" w:cs="GillSans"/>
          <w:sz w:val="20"/>
          <w:lang w:val="fr-CA"/>
        </w:rPr>
      </w:pPr>
    </w:p>
    <w:p w14:paraId="4E435691" w14:textId="77777777" w:rsidR="00350920" w:rsidRPr="00DC12E6" w:rsidRDefault="00350920" w:rsidP="00DC12E6">
      <w:pPr>
        <w:spacing w:before="0" w:after="0" w:line="240" w:lineRule="auto"/>
        <w:jc w:val="both"/>
        <w:rPr>
          <w:rFonts w:ascii="Arial" w:hAnsi="Arial" w:cs="Arial"/>
          <w:i/>
          <w:color w:val="F79646" w:themeColor="accent6"/>
          <w:sz w:val="20"/>
        </w:rPr>
      </w:pPr>
      <w:r>
        <w:rPr>
          <w:rFonts w:ascii="Arial" w:hAnsi="Arial"/>
          <w:i/>
          <w:color w:val="F79646" w:themeColor="accent6"/>
          <w:sz w:val="20"/>
        </w:rPr>
        <w:t>Conseils pour l’élaboration d’un arbre à objectif :</w:t>
      </w:r>
    </w:p>
    <w:p w14:paraId="4E435692" w14:textId="77777777" w:rsidR="00AF7FDB" w:rsidRPr="00AF7FDB" w:rsidRDefault="00AF7FDB" w:rsidP="00AF7FDB">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sz w:val="20"/>
        </w:rPr>
        <w:t>Pour créer un arbre à objectif, utiliser l’arbre à problèmes comme base.</w:t>
      </w:r>
    </w:p>
    <w:p w14:paraId="4E435693" w14:textId="77777777" w:rsidR="009C5D06" w:rsidRPr="009C5D06" w:rsidRDefault="00A727C9" w:rsidP="009C5D06">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b/>
          <w:i/>
          <w:sz w:val="20"/>
        </w:rPr>
        <w:t>Étape 1 :</w:t>
      </w:r>
      <w:r>
        <w:rPr>
          <w:rFonts w:ascii="GillSans" w:hAnsi="GillSans"/>
          <w:sz w:val="20"/>
        </w:rPr>
        <w:t xml:space="preserve"> Remplacer chacun des problèmes de l’arbre à problèmes par des énoncés positifs. Pour ce faire, transformer chaque situation négative en situation positive à la fois souhaitable et concrètement réalisable.</w:t>
      </w:r>
    </w:p>
    <w:p w14:paraId="4E435694" w14:textId="77777777" w:rsidR="00AF7FDB" w:rsidRPr="00AF7FDB" w:rsidRDefault="009C5D06" w:rsidP="00AF7FDB">
      <w:pPr>
        <w:autoSpaceDE w:val="0"/>
        <w:autoSpaceDN w:val="0"/>
        <w:adjustRightInd w:val="0"/>
        <w:spacing w:before="0" w:after="0" w:line="240" w:lineRule="auto"/>
        <w:ind w:left="360" w:firstLine="720"/>
        <w:jc w:val="both"/>
        <w:rPr>
          <w:rFonts w:ascii="GillSans" w:hAnsi="GillSans" w:cs="GillSans"/>
          <w:b/>
          <w:sz w:val="20"/>
          <w:u w:val="single"/>
        </w:rPr>
      </w:pPr>
      <w:r>
        <w:rPr>
          <w:rFonts w:ascii="GillSans" w:hAnsi="GillSans"/>
          <w:b/>
          <w:i/>
          <w:sz w:val="20"/>
          <w:u w:val="single"/>
        </w:rPr>
        <w:t>Par exemple :</w:t>
      </w:r>
    </w:p>
    <w:p w14:paraId="4E435695" w14:textId="45A2A402" w:rsidR="00AF7FDB" w:rsidRPr="00AF7FDB" w:rsidRDefault="00AF7FDB" w:rsidP="00AF7FDB">
      <w:pPr>
        <w:pStyle w:val="ListParagraph"/>
        <w:numPr>
          <w:ilvl w:val="0"/>
          <w:numId w:val="17"/>
        </w:numPr>
        <w:autoSpaceDE w:val="0"/>
        <w:autoSpaceDN w:val="0"/>
        <w:adjustRightInd w:val="0"/>
        <w:spacing w:before="0" w:after="0" w:line="240" w:lineRule="auto"/>
        <w:jc w:val="both"/>
        <w:rPr>
          <w:rFonts w:ascii="GillSans" w:hAnsi="GillSans" w:cs="GillSans"/>
          <w:i/>
          <w:sz w:val="20"/>
        </w:rPr>
      </w:pPr>
      <w:r>
        <w:rPr>
          <w:rFonts w:ascii="GillSans" w:hAnsi="GillSans"/>
          <w:i/>
          <w:sz w:val="20"/>
        </w:rPr>
        <w:t>PROBLÈME = Taux élevé de maladies hydriques dans le camp de réfugiés XXX</w:t>
      </w:r>
      <w:r w:rsidR="00912B9C">
        <w:rPr>
          <w:rFonts w:ascii="GillSans" w:hAnsi="GillSans"/>
          <w:i/>
          <w:sz w:val="20"/>
        </w:rPr>
        <w:t>.</w:t>
      </w:r>
      <w:r>
        <w:rPr>
          <w:rFonts w:ascii="GillSans" w:hAnsi="GillSans"/>
          <w:i/>
          <w:sz w:val="20"/>
        </w:rPr>
        <w:t xml:space="preserve"> </w:t>
      </w:r>
      <w:r>
        <w:rPr>
          <w:rFonts w:ascii="GillSans" w:hAnsi="GillSans"/>
          <w:i/>
          <w:sz w:val="20"/>
        </w:rPr>
        <w:sym w:font="Wingdings" w:char="F0E8"/>
      </w:r>
      <w:r>
        <w:rPr>
          <w:rFonts w:ascii="GillSans" w:hAnsi="GillSans"/>
          <w:i/>
          <w:sz w:val="20"/>
        </w:rPr>
        <w:t xml:space="preserve"> </w:t>
      </w:r>
    </w:p>
    <w:p w14:paraId="4E435696" w14:textId="2E0E5B6B" w:rsidR="00AF7FDB" w:rsidRPr="00AF7FDB" w:rsidRDefault="00AF7FDB" w:rsidP="00AF7FDB">
      <w:pPr>
        <w:pStyle w:val="ListParagraph"/>
        <w:numPr>
          <w:ilvl w:val="0"/>
          <w:numId w:val="17"/>
        </w:numPr>
        <w:autoSpaceDE w:val="0"/>
        <w:autoSpaceDN w:val="0"/>
        <w:adjustRightInd w:val="0"/>
        <w:spacing w:before="0" w:after="0" w:line="240" w:lineRule="auto"/>
        <w:jc w:val="both"/>
        <w:rPr>
          <w:rFonts w:ascii="GillSans" w:hAnsi="GillSans" w:cs="GillSans"/>
          <w:i/>
          <w:sz w:val="20"/>
        </w:rPr>
      </w:pPr>
      <w:r>
        <w:rPr>
          <w:rFonts w:ascii="GillSans" w:hAnsi="GillSans"/>
          <w:i/>
          <w:sz w:val="20"/>
        </w:rPr>
        <w:t>BESOINS = Accès à de l’eau potable en quantité suffisante</w:t>
      </w:r>
      <w:r w:rsidR="00912B9C">
        <w:rPr>
          <w:rFonts w:ascii="GillSans" w:hAnsi="GillSans"/>
          <w:i/>
          <w:sz w:val="20"/>
        </w:rPr>
        <w:t>.</w:t>
      </w:r>
      <w:r>
        <w:rPr>
          <w:rFonts w:ascii="GillSans" w:hAnsi="GillSans"/>
          <w:i/>
          <w:sz w:val="20"/>
        </w:rPr>
        <w:t xml:space="preserve"> </w:t>
      </w:r>
      <w:r>
        <w:rPr>
          <w:rFonts w:ascii="GillSans" w:hAnsi="GillSans"/>
          <w:i/>
          <w:sz w:val="20"/>
        </w:rPr>
        <w:sym w:font="Wingdings" w:char="F0E8"/>
      </w:r>
    </w:p>
    <w:p w14:paraId="4E435697" w14:textId="77777777" w:rsidR="009C5D06" w:rsidRPr="00AF7FDB" w:rsidRDefault="00AF7FDB" w:rsidP="00AF7FDB">
      <w:pPr>
        <w:pStyle w:val="ListParagraph"/>
        <w:numPr>
          <w:ilvl w:val="0"/>
          <w:numId w:val="17"/>
        </w:numPr>
        <w:autoSpaceDE w:val="0"/>
        <w:autoSpaceDN w:val="0"/>
        <w:adjustRightInd w:val="0"/>
        <w:spacing w:before="0" w:after="0" w:line="240" w:lineRule="auto"/>
        <w:jc w:val="both"/>
        <w:rPr>
          <w:rFonts w:ascii="GillSans" w:hAnsi="GillSans" w:cs="GillSans"/>
          <w:i/>
          <w:sz w:val="20"/>
        </w:rPr>
      </w:pPr>
      <w:r>
        <w:rPr>
          <w:rFonts w:ascii="GillSans" w:hAnsi="GillSans"/>
          <w:i/>
          <w:sz w:val="20"/>
        </w:rPr>
        <w:t xml:space="preserve">OBJECTIF = La population du camp de réfugiés XXX a accès à un minimum de 7,5 litres d’eau par personne, par jour, pour la consommation, la cuisson et l’hygiène personnelle (norme Sphère dans une situation idéale : 15 litres par jour). </w:t>
      </w:r>
    </w:p>
    <w:p w14:paraId="4E435698" w14:textId="77777777" w:rsidR="009C5D06" w:rsidRPr="00AF7FDB" w:rsidRDefault="00A727C9" w:rsidP="00AF7FDB">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b/>
          <w:i/>
          <w:sz w:val="20"/>
        </w:rPr>
        <w:t>Étape 2 :</w:t>
      </w:r>
      <w:r>
        <w:rPr>
          <w:rFonts w:ascii="GillSans" w:hAnsi="GillSans"/>
          <w:sz w:val="20"/>
        </w:rPr>
        <w:t xml:space="preserve"> Reproduire la forme de l’arbre à problèmes et placer les objectifs au même endroit que les problèmes. Il en résultera un arbre à objectifs.</w:t>
      </w:r>
    </w:p>
    <w:p w14:paraId="4E435699" w14:textId="77777777" w:rsidR="009C5D06" w:rsidRPr="00AF7FDB" w:rsidRDefault="009C5D06" w:rsidP="00AF7FDB">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b/>
          <w:i/>
          <w:sz w:val="20"/>
        </w:rPr>
        <w:t>Étape 3 :</w:t>
      </w:r>
      <w:r>
        <w:rPr>
          <w:rFonts w:ascii="GillSans" w:hAnsi="GillSans"/>
          <w:sz w:val="20"/>
        </w:rPr>
        <w:t xml:space="preserve"> Vérifier la logique pour veiller à la validité et à l’exhaustivité de la hiérarchie (les relations de cause à effet de l’arbre à problèmes sont inversées et deviennent des relations entre moyens et fins). Un niveau d’objectif permettra-t-il l’atteinte du suivant ?</w:t>
      </w:r>
    </w:p>
    <w:p w14:paraId="4E43569A" w14:textId="0F4FAE8F" w:rsidR="009C5D06" w:rsidRPr="00AF7FDB" w:rsidRDefault="009C5D06" w:rsidP="009C5D06">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sz w:val="20"/>
        </w:rPr>
        <w:t>Il pourrait y avoir certaines causes très générales au bas de l’arbre. Ces causes ne peuvent</w:t>
      </w:r>
      <w:r w:rsidR="007C1F9A">
        <w:rPr>
          <w:rFonts w:ascii="GillSans" w:hAnsi="GillSans"/>
          <w:sz w:val="20"/>
        </w:rPr>
        <w:t xml:space="preserve"> pas</w:t>
      </w:r>
      <w:r>
        <w:rPr>
          <w:rFonts w:ascii="GillSans" w:hAnsi="GillSans"/>
          <w:sz w:val="20"/>
        </w:rPr>
        <w:t xml:space="preserve"> être changées en objectifs pouvant facilement être atteints dans le cadre d’une intervention. Aussi, elles constituent plutôt des facteurs externes, à savoir des contraintes devant être considérées et évaluées en vue de vérifier la faisabilité de l’action.</w:t>
      </w:r>
    </w:p>
    <w:p w14:paraId="4E43569B" w14:textId="77777777" w:rsidR="00867D7B" w:rsidRPr="00867D7B" w:rsidRDefault="00350920" w:rsidP="00867D7B">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sz w:val="20"/>
        </w:rPr>
        <w:t>Plus d’acteurs participeront à l’élaboration de l’arbre à objectif, plus votre analyse sera pertinente. Vous vous assurerez ainsi que les opinions et les points de vue de différents groupes d’acteurs sont suffisamment représentés et éclaircis.</w:t>
      </w:r>
    </w:p>
    <w:p w14:paraId="4E43569C" w14:textId="77777777" w:rsidR="00611933" w:rsidRPr="001043D4" w:rsidRDefault="00611933" w:rsidP="00611933">
      <w:pPr>
        <w:pStyle w:val="ListParagraph"/>
        <w:numPr>
          <w:ilvl w:val="0"/>
          <w:numId w:val="13"/>
        </w:numPr>
        <w:autoSpaceDE w:val="0"/>
        <w:autoSpaceDN w:val="0"/>
        <w:adjustRightInd w:val="0"/>
        <w:spacing w:before="0" w:after="0" w:line="240" w:lineRule="auto"/>
        <w:jc w:val="both"/>
        <w:rPr>
          <w:rFonts w:ascii="GillSans" w:hAnsi="GillSans" w:cs="GillSans"/>
          <w:sz w:val="20"/>
        </w:rPr>
      </w:pPr>
      <w:r>
        <w:rPr>
          <w:rFonts w:ascii="GillSans" w:hAnsi="GillSans"/>
          <w:sz w:val="20"/>
        </w:rPr>
        <w:t>Au besoin, les différents aspects d’un arbre à objectif peuvent être approfondis davantage à l’aide de groupes de discussion ou d’entretiens.</w:t>
      </w:r>
    </w:p>
    <w:p w14:paraId="4E43569D" w14:textId="77777777" w:rsidR="00DC12E6" w:rsidRPr="00E30DEE" w:rsidRDefault="00DC12E6" w:rsidP="00E30DEE">
      <w:pPr>
        <w:spacing w:before="0" w:after="0" w:line="240" w:lineRule="auto"/>
        <w:jc w:val="both"/>
        <w:rPr>
          <w:rFonts w:ascii="Arial" w:hAnsi="Arial" w:cs="Arial"/>
          <w:sz w:val="20"/>
        </w:rPr>
      </w:pPr>
    </w:p>
    <w:p w14:paraId="4E43569E"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9F"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A0"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A1"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A2"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A6" w14:textId="61726292" w:rsidR="001B3166" w:rsidRDefault="001B3166" w:rsidP="00E30DEE">
      <w:pPr>
        <w:spacing w:before="0" w:after="0" w:line="240" w:lineRule="auto"/>
        <w:jc w:val="both"/>
        <w:rPr>
          <w:rFonts w:ascii="Arial" w:hAnsi="Arial" w:cs="Arial"/>
          <w:i/>
          <w:color w:val="F79646" w:themeColor="accent6"/>
          <w:sz w:val="20"/>
          <w:lang w:val="fr-CA"/>
        </w:rPr>
      </w:pPr>
    </w:p>
    <w:p w14:paraId="454ED154" w14:textId="77777777" w:rsidR="00D60E61" w:rsidRDefault="00D60E61" w:rsidP="00E30DEE">
      <w:pPr>
        <w:spacing w:before="0" w:after="0" w:line="240" w:lineRule="auto"/>
        <w:jc w:val="both"/>
        <w:rPr>
          <w:rFonts w:ascii="Arial" w:hAnsi="Arial" w:cs="Arial"/>
          <w:i/>
          <w:color w:val="F79646" w:themeColor="accent6"/>
          <w:sz w:val="20"/>
          <w:lang w:val="fr-CA"/>
        </w:rPr>
      </w:pPr>
    </w:p>
    <w:p w14:paraId="7BC16512" w14:textId="77777777" w:rsidR="00D60E61" w:rsidRDefault="00D60E61" w:rsidP="00E30DEE">
      <w:pPr>
        <w:spacing w:before="0" w:after="0" w:line="240" w:lineRule="auto"/>
        <w:jc w:val="both"/>
        <w:rPr>
          <w:rFonts w:ascii="Arial" w:hAnsi="Arial" w:cs="Arial"/>
          <w:i/>
          <w:color w:val="F79646" w:themeColor="accent6"/>
          <w:sz w:val="20"/>
          <w:lang w:val="fr-CA"/>
        </w:rPr>
      </w:pPr>
    </w:p>
    <w:p w14:paraId="7C3C71CC" w14:textId="77777777" w:rsidR="00FF1319" w:rsidRPr="00912B9C" w:rsidRDefault="00FF1319" w:rsidP="00E30DEE">
      <w:pPr>
        <w:spacing w:before="0" w:after="0" w:line="240" w:lineRule="auto"/>
        <w:jc w:val="both"/>
        <w:rPr>
          <w:rFonts w:ascii="Arial" w:hAnsi="Arial" w:cs="Arial"/>
          <w:i/>
          <w:color w:val="F79646" w:themeColor="accent6"/>
          <w:sz w:val="20"/>
          <w:lang w:val="fr-CA"/>
        </w:rPr>
      </w:pPr>
    </w:p>
    <w:p w14:paraId="4E4356A7" w14:textId="77777777" w:rsidR="001B3166" w:rsidRPr="00912B9C" w:rsidRDefault="001B3166" w:rsidP="00E30DEE">
      <w:pPr>
        <w:spacing w:before="0" w:after="0" w:line="240" w:lineRule="auto"/>
        <w:jc w:val="both"/>
        <w:rPr>
          <w:rFonts w:ascii="Arial" w:hAnsi="Arial" w:cs="Arial"/>
          <w:i/>
          <w:color w:val="F79646" w:themeColor="accent6"/>
          <w:sz w:val="20"/>
          <w:lang w:val="fr-CA"/>
        </w:rPr>
      </w:pPr>
    </w:p>
    <w:p w14:paraId="4E4356A8" w14:textId="77777777" w:rsidR="00BC7D8C" w:rsidRDefault="001B3166" w:rsidP="00E30DEE">
      <w:pPr>
        <w:spacing w:before="0" w:after="0" w:line="240" w:lineRule="auto"/>
        <w:jc w:val="both"/>
        <w:rPr>
          <w:rFonts w:ascii="Arial" w:hAnsi="Arial" w:cs="Arial"/>
          <w:i/>
          <w:color w:val="F79646" w:themeColor="accent6"/>
          <w:sz w:val="20"/>
        </w:rPr>
      </w:pPr>
      <w:r>
        <w:rPr>
          <w:rFonts w:ascii="Arial" w:hAnsi="Arial"/>
          <w:i/>
          <w:color w:val="F79646" w:themeColor="accent6"/>
          <w:sz w:val="20"/>
        </w:rPr>
        <w:lastRenderedPageBreak/>
        <w:t>Exemple d’arbre à objectif</w:t>
      </w:r>
    </w:p>
    <w:p w14:paraId="4E4356A9" w14:textId="454F5069" w:rsidR="00BC7D8C" w:rsidRDefault="00BC7D8C" w:rsidP="00E30DEE">
      <w:pPr>
        <w:spacing w:before="0" w:after="0" w:line="240" w:lineRule="auto"/>
        <w:jc w:val="both"/>
        <w:rPr>
          <w:rFonts w:ascii="Arial" w:hAnsi="Arial" w:cs="Arial"/>
          <w:i/>
          <w:color w:val="F79646" w:themeColor="accent6"/>
          <w:sz w:val="20"/>
        </w:rPr>
      </w:pPr>
    </w:p>
    <w:p w14:paraId="4E4356AA" w14:textId="4974AED0" w:rsidR="00BC7D8C" w:rsidRDefault="00D60E61" w:rsidP="00E30DEE">
      <w:pPr>
        <w:spacing w:before="0" w:after="0" w:line="240" w:lineRule="auto"/>
        <w:jc w:val="both"/>
        <w:rPr>
          <w:rFonts w:ascii="Arial" w:hAnsi="Arial" w:cs="Arial"/>
          <w:i/>
          <w:color w:val="F79646" w:themeColor="accent6"/>
          <w:sz w:val="20"/>
          <w:lang w:val="en-GB"/>
        </w:rPr>
      </w:pPr>
      <w:r>
        <w:rPr>
          <w:rFonts w:ascii="Arial" w:hAnsi="Arial" w:cs="Arial"/>
          <w:i/>
          <w:noProof/>
          <w:color w:val="F79646" w:themeColor="accent6"/>
          <w:sz w:val="20"/>
          <w:lang w:val="fr-CH" w:eastAsia="fr-CH"/>
        </w:rPr>
        <w:drawing>
          <wp:inline distT="0" distB="0" distL="0" distR="0" wp14:anchorId="2D08C9EA" wp14:editId="4FECC5FF">
            <wp:extent cx="5725160" cy="382460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3824605"/>
                    </a:xfrm>
                    <a:prstGeom prst="rect">
                      <a:avLst/>
                    </a:prstGeom>
                    <a:noFill/>
                    <a:ln>
                      <a:noFill/>
                    </a:ln>
                  </pic:spPr>
                </pic:pic>
              </a:graphicData>
            </a:graphic>
          </wp:inline>
        </w:drawing>
      </w:r>
    </w:p>
    <w:p w14:paraId="1C633FFA" w14:textId="77777777" w:rsidR="00D60E61" w:rsidRDefault="00D60E61" w:rsidP="00E30DEE">
      <w:pPr>
        <w:spacing w:before="0" w:after="0" w:line="240" w:lineRule="auto"/>
        <w:jc w:val="both"/>
        <w:rPr>
          <w:rFonts w:ascii="Arial" w:hAnsi="Arial" w:cs="Arial"/>
          <w:i/>
          <w:color w:val="F79646" w:themeColor="accent6"/>
          <w:sz w:val="20"/>
          <w:lang w:val="en-GB"/>
        </w:rPr>
      </w:pPr>
    </w:p>
    <w:p w14:paraId="4E4356AB" w14:textId="5B797077" w:rsidR="00BC7D8C" w:rsidRDefault="00D60E61" w:rsidP="00E30DEE">
      <w:pPr>
        <w:spacing w:before="0" w:after="0" w:line="240" w:lineRule="auto"/>
        <w:jc w:val="both"/>
        <w:rPr>
          <w:rFonts w:ascii="Arial" w:hAnsi="Arial" w:cs="Arial"/>
          <w:i/>
          <w:color w:val="F79646" w:themeColor="accent6"/>
          <w:sz w:val="20"/>
          <w:lang w:val="en-GB"/>
        </w:rPr>
      </w:pPr>
      <w:r>
        <w:rPr>
          <w:rFonts w:ascii="Arial" w:hAnsi="Arial" w:cs="Arial"/>
          <w:i/>
          <w:noProof/>
          <w:color w:val="F79646" w:themeColor="accent6"/>
          <w:sz w:val="20"/>
          <w:lang w:val="fr-CH" w:eastAsia="fr-CH"/>
        </w:rPr>
        <w:drawing>
          <wp:inline distT="0" distB="0" distL="0" distR="0" wp14:anchorId="59EB513E" wp14:editId="141F6BBA">
            <wp:extent cx="6017598" cy="3363402"/>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483" cy="3363337"/>
                    </a:xfrm>
                    <a:prstGeom prst="rect">
                      <a:avLst/>
                    </a:prstGeom>
                    <a:noFill/>
                    <a:ln>
                      <a:noFill/>
                    </a:ln>
                  </pic:spPr>
                </pic:pic>
              </a:graphicData>
            </a:graphic>
          </wp:inline>
        </w:drawing>
      </w:r>
      <w:bookmarkStart w:id="0" w:name="_GoBack"/>
      <w:bookmarkEnd w:id="0"/>
    </w:p>
    <w:p w14:paraId="4E4356AC"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AD"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AE"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AF"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B0"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B1" w14:textId="77777777" w:rsidR="00BC7D8C" w:rsidRDefault="00BC7D8C" w:rsidP="00E30DEE">
      <w:pPr>
        <w:spacing w:before="0" w:after="0" w:line="240" w:lineRule="auto"/>
        <w:jc w:val="both"/>
        <w:rPr>
          <w:rFonts w:ascii="Arial" w:hAnsi="Arial" w:cs="Arial"/>
          <w:i/>
          <w:color w:val="F79646" w:themeColor="accent6"/>
          <w:sz w:val="20"/>
          <w:lang w:val="en-GB"/>
        </w:rPr>
      </w:pPr>
    </w:p>
    <w:p w14:paraId="4E4356B2" w14:textId="77777777" w:rsidR="00BC7D8C" w:rsidRDefault="00BC7D8C" w:rsidP="001B3166">
      <w:pPr>
        <w:spacing w:before="0" w:after="0" w:line="240" w:lineRule="auto"/>
        <w:rPr>
          <w:rFonts w:ascii="Arial" w:hAnsi="Arial" w:cs="Arial"/>
          <w:sz w:val="20"/>
        </w:rPr>
      </w:pPr>
    </w:p>
    <w:sectPr w:rsidR="00BC7D8C" w:rsidSect="0061193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93A28" w14:textId="77777777" w:rsidR="00403D24" w:rsidRDefault="00403D24" w:rsidP="002E2048">
      <w:pPr>
        <w:spacing w:before="0" w:after="0" w:line="240" w:lineRule="auto"/>
      </w:pPr>
      <w:r>
        <w:separator/>
      </w:r>
    </w:p>
  </w:endnote>
  <w:endnote w:type="continuationSeparator" w:id="0">
    <w:p w14:paraId="54F4B812" w14:textId="77777777" w:rsidR="00403D24" w:rsidRDefault="00403D24"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8C89" w14:textId="77777777" w:rsidR="007C1F9A" w:rsidRDefault="007C1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8945"/>
      <w:docPartObj>
        <w:docPartGallery w:val="Page Numbers (Bottom of Page)"/>
        <w:docPartUnique/>
      </w:docPartObj>
    </w:sdtPr>
    <w:sdtEndPr>
      <w:rPr>
        <w:rFonts w:ascii="Arial" w:hAnsi="Arial" w:cs="Arial"/>
        <w:noProof/>
        <w:sz w:val="16"/>
        <w:szCs w:val="16"/>
      </w:rPr>
    </w:sdtEndPr>
    <w:sdtContent>
      <w:p w14:paraId="4E4356BA" w14:textId="0BCBE9BA" w:rsidR="00964E32" w:rsidRPr="00964E32" w:rsidRDefault="00964E32">
        <w:pPr>
          <w:pStyle w:val="Footer"/>
          <w:jc w:val="right"/>
          <w:rPr>
            <w:rFonts w:ascii="Arial" w:hAnsi="Arial" w:cs="Arial"/>
            <w:sz w:val="16"/>
            <w:szCs w:val="16"/>
          </w:rPr>
        </w:pPr>
        <w:r w:rsidRPr="00964E32">
          <w:rPr>
            <w:rFonts w:ascii="Arial" w:hAnsi="Arial" w:cs="Arial"/>
            <w:sz w:val="16"/>
            <w:szCs w:val="16"/>
          </w:rPr>
          <w:fldChar w:fldCharType="begin"/>
        </w:r>
        <w:r w:rsidRPr="00964E32">
          <w:rPr>
            <w:rFonts w:ascii="Arial" w:hAnsi="Arial" w:cs="Arial"/>
            <w:sz w:val="16"/>
            <w:szCs w:val="16"/>
          </w:rPr>
          <w:instrText xml:space="preserve"> PAGE   \* MERGEFORMAT </w:instrText>
        </w:r>
        <w:r w:rsidRPr="00964E32">
          <w:rPr>
            <w:rFonts w:ascii="Arial" w:hAnsi="Arial" w:cs="Arial"/>
            <w:sz w:val="16"/>
            <w:szCs w:val="16"/>
          </w:rPr>
          <w:fldChar w:fldCharType="separate"/>
        </w:r>
        <w:r w:rsidR="00D60E61">
          <w:rPr>
            <w:rFonts w:ascii="Arial" w:hAnsi="Arial" w:cs="Arial"/>
            <w:noProof/>
            <w:sz w:val="16"/>
            <w:szCs w:val="16"/>
          </w:rPr>
          <w:t>1</w:t>
        </w:r>
        <w:r w:rsidRPr="00964E32">
          <w:rPr>
            <w:rFonts w:ascii="Arial" w:hAnsi="Arial" w:cs="Arial"/>
            <w:sz w:val="16"/>
            <w:szCs w:val="16"/>
          </w:rPr>
          <w:fldChar w:fldCharType="end"/>
        </w:r>
      </w:p>
    </w:sdtContent>
  </w:sdt>
  <w:p w14:paraId="4E4356BB" w14:textId="77777777" w:rsidR="004C4606" w:rsidRPr="00E30DEE" w:rsidRDefault="004C4606" w:rsidP="0024698A">
    <w:pPr>
      <w:tabs>
        <w:tab w:val="right" w:pos="13892"/>
      </w:tabs>
      <w:spacing w:before="0" w:after="0" w:line="240" w:lineRule="auto"/>
      <w:rPr>
        <w:rFonts w:cs="Arial"/>
        <w:b/>
        <w:bCs/>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D2EE" w14:textId="77777777" w:rsidR="007C1F9A" w:rsidRDefault="007C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EE40E" w14:textId="77777777" w:rsidR="00403D24" w:rsidRDefault="00403D24" w:rsidP="002E2048">
      <w:pPr>
        <w:spacing w:before="0" w:after="0" w:line="240" w:lineRule="auto"/>
      </w:pPr>
      <w:r>
        <w:separator/>
      </w:r>
    </w:p>
  </w:footnote>
  <w:footnote w:type="continuationSeparator" w:id="0">
    <w:p w14:paraId="3F123872" w14:textId="77777777" w:rsidR="00403D24" w:rsidRDefault="00403D24" w:rsidP="002E20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6FD5" w14:textId="77777777" w:rsidR="007C1F9A" w:rsidRDefault="007C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56B9" w14:textId="77777777" w:rsidR="004C4606" w:rsidRPr="00A709B6" w:rsidRDefault="00611933" w:rsidP="00A709B6">
    <w:pPr>
      <w:pStyle w:val="Header"/>
      <w:rPr>
        <w:rFonts w:ascii="Arial" w:hAnsi="Arial" w:cs="Arial"/>
        <w:sz w:val="24"/>
        <w:szCs w:val="24"/>
      </w:rPr>
    </w:pPr>
    <w:r>
      <w:rPr>
        <w:rFonts w:ascii="Arial" w:hAnsi="Arial"/>
        <w:b/>
        <w:noProof/>
        <w:sz w:val="20"/>
        <w:lang w:val="fr-CH" w:eastAsia="fr-CH"/>
      </w:rPr>
      <mc:AlternateContent>
        <mc:Choice Requires="wps">
          <w:drawing>
            <wp:anchor distT="0" distB="0" distL="114300" distR="114300" simplePos="0" relativeHeight="251659264" behindDoc="0" locked="0" layoutInCell="1" allowOverlap="1" wp14:anchorId="4E4356BC" wp14:editId="4E4356BD">
              <wp:simplePos x="0" y="0"/>
              <wp:positionH relativeFrom="column">
                <wp:posOffset>4495801</wp:posOffset>
              </wp:positionH>
              <wp:positionV relativeFrom="paragraph">
                <wp:posOffset>-97790</wp:posOffset>
              </wp:positionV>
              <wp:extent cx="18859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59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356BE" w14:textId="77777777" w:rsidR="00611933" w:rsidRDefault="00611933">
                          <w:r>
                            <w:rPr>
                              <w:noProof/>
                              <w:lang w:val="fr-CH" w:eastAsia="fr-CH"/>
                            </w:rPr>
                            <w:drawing>
                              <wp:inline distT="0" distB="0" distL="0" distR="0" wp14:anchorId="4E4356BF" wp14:editId="4E4356C0">
                                <wp:extent cx="1630045" cy="2838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1">
                                          <a:extLst>
                                            <a:ext uri="{28A0092B-C50C-407E-A947-70E740481C1C}">
                                              <a14:useLocalDpi xmlns:a14="http://schemas.microsoft.com/office/drawing/2010/main" val="0"/>
                                            </a:ext>
                                          </a:extLst>
                                        </a:blip>
                                        <a:stretch>
                                          <a:fillRect/>
                                        </a:stretch>
                                      </pic:blipFill>
                                      <pic:spPr>
                                        <a:xfrm>
                                          <a:off x="0" y="0"/>
                                          <a:ext cx="1630045" cy="283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356BC" id="_x0000_t202" coordsize="21600,21600" o:spt="202" path="m,l,21600r21600,l21600,xe">
              <v:stroke joinstyle="miter"/>
              <v:path gradientshapeok="t" o:connecttype="rect"/>
            </v:shapetype>
            <v:shape id="Text Box 2" o:spid="_x0000_s1026" type="#_x0000_t202" style="position:absolute;margin-left:354pt;margin-top:-7.7pt;width:14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" filled="f" stroked="f" strokeweight=".5pt">
              <v:textbox>
                <w:txbxContent>
                  <w:p w14:paraId="4E4356BE" w14:textId="77777777" w:rsidR="00611933" w:rsidRDefault="00611933">
                    <w:r>
                      <w:rPr>
                        <w:noProof/>
                      </w:rPr>
                      <w:drawing>
                        <wp:inline distT="0" distB="0" distL="0" distR="0" wp14:anchorId="4E4356BF" wp14:editId="4E4356C0">
                          <wp:extent cx="1630045" cy="2838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2">
                                    <a:extLst>
                                      <a:ext uri="{28A0092B-C50C-407E-A947-70E740481C1C}">
                                        <a14:useLocalDpi xmlns:a14="http://schemas.microsoft.com/office/drawing/2010/main" val="0"/>
                                      </a:ext>
                                    </a:extLst>
                                  </a:blip>
                                  <a:stretch>
                                    <a:fillRect/>
                                  </a:stretch>
                                </pic:blipFill>
                                <pic:spPr>
                                  <a:xfrm>
                                    <a:off x="0" y="0"/>
                                    <a:ext cx="1630045" cy="283845"/>
                                  </a:xfrm>
                                  <a:prstGeom prst="rect">
                                    <a:avLst/>
                                  </a:prstGeom>
                                </pic:spPr>
                              </pic:pic>
                            </a:graphicData>
                          </a:graphic>
                        </wp:inline>
                      </w:drawing>
                    </w:r>
                  </w:p>
                </w:txbxContent>
              </v:textbox>
            </v:shape>
          </w:pict>
        </mc:Fallback>
      </mc:AlternateContent>
    </w:r>
    <w:r>
      <w:rPr>
        <w:rFonts w:ascii="Arial" w:hAnsi="Arial"/>
        <w:b/>
        <w:sz w:val="20"/>
      </w:rPr>
      <w:t>Gestion de cycle de projet en contexte d’urgence et crise humanitaire</w:t>
    </w:r>
    <w:r>
      <w:rPr>
        <w:rFonts w:ascii="Arial" w:hAnsi="Arial"/>
        <w:sz w:val="24"/>
        <w:szCs w:val="24"/>
      </w:rPr>
      <w:tab/>
    </w:r>
    <w:r>
      <w:rPr>
        <w:rFonts w:ascii="Arial" w:hAnsi="Arial"/>
        <w:sz w:val="24"/>
        <w:szCs w:val="24"/>
      </w:rPr>
      <w:tab/>
    </w:r>
    <w:r>
      <w:rPr>
        <w:rFonts w:ascii="Arial" w:hAnsi="Arial"/>
        <w:sz w:val="24"/>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84D7" w14:textId="77777777" w:rsidR="007C1F9A" w:rsidRDefault="007C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12459E"/>
    <w:multiLevelType w:val="hybridMultilevel"/>
    <w:tmpl w:val="F664FF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A66EE5"/>
    <w:multiLevelType w:val="hybridMultilevel"/>
    <w:tmpl w:val="3E022A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56323D8"/>
    <w:multiLevelType w:val="hybridMultilevel"/>
    <w:tmpl w:val="B2FE3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7E41CE1"/>
    <w:multiLevelType w:val="hybridMultilevel"/>
    <w:tmpl w:val="17B28D7A"/>
    <w:lvl w:ilvl="0" w:tplc="100C000D">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11">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DA1DDC"/>
    <w:multiLevelType w:val="hybridMultilevel"/>
    <w:tmpl w:val="8E5A9C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CD96C54"/>
    <w:multiLevelType w:val="hybridMultilevel"/>
    <w:tmpl w:val="5B7AC54A"/>
    <w:lvl w:ilvl="0" w:tplc="6A6E581A">
      <w:start w:val="1"/>
      <w:numFmt w:val="decimal"/>
      <w:lvlText w:val="%1."/>
      <w:lvlJc w:val="left"/>
      <w:pPr>
        <w:ind w:left="720" w:hanging="360"/>
      </w:pPr>
      <w:rPr>
        <w:rFonts w:hint="default"/>
        <w:i/>
        <w:color w:val="F79646" w:themeColor="accent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12"/>
  </w:num>
  <w:num w:numId="5">
    <w:abstractNumId w:val="11"/>
  </w:num>
  <w:num w:numId="6">
    <w:abstractNumId w:val="2"/>
  </w:num>
  <w:num w:numId="7">
    <w:abstractNumId w:val="0"/>
  </w:num>
  <w:num w:numId="8">
    <w:abstractNumId w:val="7"/>
  </w:num>
  <w:num w:numId="9">
    <w:abstractNumId w:val="10"/>
  </w:num>
  <w:num w:numId="10">
    <w:abstractNumId w:val="9"/>
  </w:num>
  <w:num w:numId="11">
    <w:abstractNumId w:val="15"/>
  </w:num>
  <w:num w:numId="12">
    <w:abstractNumId w:val="5"/>
  </w:num>
  <w:num w:numId="13">
    <w:abstractNumId w:val="3"/>
  </w:num>
  <w:num w:numId="14">
    <w:abstractNumId w:val="16"/>
  </w:num>
  <w:num w:numId="15">
    <w:abstractNumId w:val="14"/>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10B1A"/>
    <w:rsid w:val="00012288"/>
    <w:rsid w:val="0001541C"/>
    <w:rsid w:val="0002032E"/>
    <w:rsid w:val="00023C40"/>
    <w:rsid w:val="0002557B"/>
    <w:rsid w:val="00031276"/>
    <w:rsid w:val="00073B6D"/>
    <w:rsid w:val="00090C9B"/>
    <w:rsid w:val="000C79C5"/>
    <w:rsid w:val="000E6EBA"/>
    <w:rsid w:val="001043D4"/>
    <w:rsid w:val="001100A4"/>
    <w:rsid w:val="00132236"/>
    <w:rsid w:val="001353E8"/>
    <w:rsid w:val="00147771"/>
    <w:rsid w:val="00156634"/>
    <w:rsid w:val="00176249"/>
    <w:rsid w:val="00180AE4"/>
    <w:rsid w:val="0019345F"/>
    <w:rsid w:val="001A0462"/>
    <w:rsid w:val="001B3166"/>
    <w:rsid w:val="001F06E8"/>
    <w:rsid w:val="001F0772"/>
    <w:rsid w:val="001F7CC3"/>
    <w:rsid w:val="00204EA0"/>
    <w:rsid w:val="002277D3"/>
    <w:rsid w:val="0024698A"/>
    <w:rsid w:val="002B3ED3"/>
    <w:rsid w:val="002C6723"/>
    <w:rsid w:val="002E2048"/>
    <w:rsid w:val="002E3251"/>
    <w:rsid w:val="002E6AEF"/>
    <w:rsid w:val="00304590"/>
    <w:rsid w:val="00332EB2"/>
    <w:rsid w:val="00343112"/>
    <w:rsid w:val="00350920"/>
    <w:rsid w:val="00366D8A"/>
    <w:rsid w:val="003A3442"/>
    <w:rsid w:val="003C52CC"/>
    <w:rsid w:val="003D5874"/>
    <w:rsid w:val="00402652"/>
    <w:rsid w:val="00403D24"/>
    <w:rsid w:val="00463B11"/>
    <w:rsid w:val="00464F50"/>
    <w:rsid w:val="004818CC"/>
    <w:rsid w:val="00481900"/>
    <w:rsid w:val="0049198A"/>
    <w:rsid w:val="00495382"/>
    <w:rsid w:val="00495CC8"/>
    <w:rsid w:val="004A7E92"/>
    <w:rsid w:val="004C22F7"/>
    <w:rsid w:val="004C3308"/>
    <w:rsid w:val="004C33F9"/>
    <w:rsid w:val="004C4606"/>
    <w:rsid w:val="004E370F"/>
    <w:rsid w:val="004E46C2"/>
    <w:rsid w:val="005074D3"/>
    <w:rsid w:val="0051177E"/>
    <w:rsid w:val="0052124F"/>
    <w:rsid w:val="00527FA5"/>
    <w:rsid w:val="00532FD1"/>
    <w:rsid w:val="00543A9C"/>
    <w:rsid w:val="005639C7"/>
    <w:rsid w:val="00567EA1"/>
    <w:rsid w:val="00580A04"/>
    <w:rsid w:val="00597BDC"/>
    <w:rsid w:val="005A2FC7"/>
    <w:rsid w:val="005B1237"/>
    <w:rsid w:val="005D7EDC"/>
    <w:rsid w:val="005E4754"/>
    <w:rsid w:val="005F2732"/>
    <w:rsid w:val="005F5A43"/>
    <w:rsid w:val="00611933"/>
    <w:rsid w:val="006333FC"/>
    <w:rsid w:val="006341F1"/>
    <w:rsid w:val="006349BA"/>
    <w:rsid w:val="006411EC"/>
    <w:rsid w:val="00661B81"/>
    <w:rsid w:val="00662D45"/>
    <w:rsid w:val="00665968"/>
    <w:rsid w:val="006819FD"/>
    <w:rsid w:val="00682EF9"/>
    <w:rsid w:val="00686B3E"/>
    <w:rsid w:val="006A0670"/>
    <w:rsid w:val="006A1680"/>
    <w:rsid w:val="006B1266"/>
    <w:rsid w:val="006C53EA"/>
    <w:rsid w:val="006D7D6C"/>
    <w:rsid w:val="006F4C6B"/>
    <w:rsid w:val="0070416F"/>
    <w:rsid w:val="00736A8A"/>
    <w:rsid w:val="00745CA8"/>
    <w:rsid w:val="007518A1"/>
    <w:rsid w:val="00755C09"/>
    <w:rsid w:val="0077050F"/>
    <w:rsid w:val="00773DC0"/>
    <w:rsid w:val="00790C62"/>
    <w:rsid w:val="007924A2"/>
    <w:rsid w:val="007B2758"/>
    <w:rsid w:val="007B3A83"/>
    <w:rsid w:val="007B6842"/>
    <w:rsid w:val="007C1F9A"/>
    <w:rsid w:val="007D2373"/>
    <w:rsid w:val="007D299A"/>
    <w:rsid w:val="007D6832"/>
    <w:rsid w:val="007F03F7"/>
    <w:rsid w:val="007F369E"/>
    <w:rsid w:val="008170EE"/>
    <w:rsid w:val="0082182C"/>
    <w:rsid w:val="00836E9C"/>
    <w:rsid w:val="008432E6"/>
    <w:rsid w:val="00864525"/>
    <w:rsid w:val="00867D7B"/>
    <w:rsid w:val="008758EA"/>
    <w:rsid w:val="008976D6"/>
    <w:rsid w:val="008A021B"/>
    <w:rsid w:val="008E59BB"/>
    <w:rsid w:val="00912B9C"/>
    <w:rsid w:val="00964E32"/>
    <w:rsid w:val="00972D7C"/>
    <w:rsid w:val="00977F55"/>
    <w:rsid w:val="00986DF0"/>
    <w:rsid w:val="00994DBC"/>
    <w:rsid w:val="00997575"/>
    <w:rsid w:val="009B5A27"/>
    <w:rsid w:val="009C5D06"/>
    <w:rsid w:val="009D03B9"/>
    <w:rsid w:val="00A0320F"/>
    <w:rsid w:val="00A57B68"/>
    <w:rsid w:val="00A6552E"/>
    <w:rsid w:val="00A709B6"/>
    <w:rsid w:val="00A70CDF"/>
    <w:rsid w:val="00A727C9"/>
    <w:rsid w:val="00A77BD9"/>
    <w:rsid w:val="00A950EA"/>
    <w:rsid w:val="00A96F59"/>
    <w:rsid w:val="00AC393E"/>
    <w:rsid w:val="00AC7695"/>
    <w:rsid w:val="00AD5D38"/>
    <w:rsid w:val="00AE02B8"/>
    <w:rsid w:val="00AE5E7A"/>
    <w:rsid w:val="00AF7FDB"/>
    <w:rsid w:val="00B07F2B"/>
    <w:rsid w:val="00B123E8"/>
    <w:rsid w:val="00B17240"/>
    <w:rsid w:val="00B221E3"/>
    <w:rsid w:val="00B24F5C"/>
    <w:rsid w:val="00B340C3"/>
    <w:rsid w:val="00B47D9D"/>
    <w:rsid w:val="00B90D9A"/>
    <w:rsid w:val="00BA6983"/>
    <w:rsid w:val="00BB5D9F"/>
    <w:rsid w:val="00BC7D8C"/>
    <w:rsid w:val="00C02CF4"/>
    <w:rsid w:val="00C45155"/>
    <w:rsid w:val="00C509B9"/>
    <w:rsid w:val="00C82EED"/>
    <w:rsid w:val="00C866A4"/>
    <w:rsid w:val="00CB155D"/>
    <w:rsid w:val="00CB7660"/>
    <w:rsid w:val="00CD6E18"/>
    <w:rsid w:val="00CF5923"/>
    <w:rsid w:val="00D11382"/>
    <w:rsid w:val="00D21506"/>
    <w:rsid w:val="00D2468B"/>
    <w:rsid w:val="00D24B8B"/>
    <w:rsid w:val="00D37832"/>
    <w:rsid w:val="00D60E61"/>
    <w:rsid w:val="00D64A0A"/>
    <w:rsid w:val="00D66B48"/>
    <w:rsid w:val="00D97420"/>
    <w:rsid w:val="00DA5E68"/>
    <w:rsid w:val="00DC12E6"/>
    <w:rsid w:val="00DC18A1"/>
    <w:rsid w:val="00DC6C6A"/>
    <w:rsid w:val="00DF77DF"/>
    <w:rsid w:val="00E035F1"/>
    <w:rsid w:val="00E30DEE"/>
    <w:rsid w:val="00E31048"/>
    <w:rsid w:val="00E375FE"/>
    <w:rsid w:val="00E857CF"/>
    <w:rsid w:val="00EA32CC"/>
    <w:rsid w:val="00EB4AB6"/>
    <w:rsid w:val="00EC5886"/>
    <w:rsid w:val="00EC60AD"/>
    <w:rsid w:val="00EE3C76"/>
    <w:rsid w:val="00EE3E58"/>
    <w:rsid w:val="00EF0AF5"/>
    <w:rsid w:val="00F07DF7"/>
    <w:rsid w:val="00F72B19"/>
    <w:rsid w:val="00F74418"/>
    <w:rsid w:val="00F95631"/>
    <w:rsid w:val="00FA18D5"/>
    <w:rsid w:val="00FC1E4D"/>
    <w:rsid w:val="00FC56D5"/>
    <w:rsid w:val="00FF1319"/>
  </w:rsids>
  <m:mathPr>
    <m:mathFont m:val="Cambria Math"/>
    <m:brkBin m:val="before"/>
    <m:brkBinSub m:val="--"/>
    <m:smallFrac m:val="0"/>
    <m:dispDef/>
    <m:lMargin m:val="0"/>
    <m:rMargin m:val="0"/>
    <m:defJc m:val="centerGroup"/>
    <m:wrapIndent m:val="1440"/>
    <m:intLim m:val="subSup"/>
    <m:naryLim m:val="undOvr"/>
  </m:mathPr>
  <w:themeFontLang w:val="en-AU"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NormalWeb">
    <w:name w:val="Normal (Web)"/>
    <w:basedOn w:val="Normal"/>
    <w:uiPriority w:val="99"/>
    <w:semiHidden/>
    <w:unhideWhenUsed/>
    <w:rsid w:val="00FC1E4D"/>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NormalWeb">
    <w:name w:val="Normal (Web)"/>
    <w:basedOn w:val="Normal"/>
    <w:uiPriority w:val="99"/>
    <w:semiHidden/>
    <w:unhideWhenUsed/>
    <w:rsid w:val="00FC1E4D"/>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7039">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3CE3-D5F2-4E22-8428-13FFF0F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3</cp:revision>
  <cp:lastPrinted>2013-04-01T05:26:00Z</cp:lastPrinted>
  <dcterms:created xsi:type="dcterms:W3CDTF">2017-12-07T13:27:00Z</dcterms:created>
  <dcterms:modified xsi:type="dcterms:W3CDTF">2017-12-07T13:47:00Z</dcterms:modified>
</cp:coreProperties>
</file>