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A2B" w:rsidRPr="00057DEF" w:rsidRDefault="00691A2B" w:rsidP="00691A2B">
      <w:pPr>
        <w:jc w:val="center"/>
        <w:rPr>
          <w:b/>
          <w:color w:val="17365D" w:themeColor="text2" w:themeShade="BF"/>
          <w:sz w:val="24"/>
          <w:szCs w:val="20"/>
          <w:lang w:val="fr-FR"/>
        </w:rPr>
      </w:pPr>
    </w:p>
    <w:p w:rsidR="0005659C" w:rsidRPr="00057DEF" w:rsidRDefault="00691A2B" w:rsidP="00783F38">
      <w:pPr>
        <w:jc w:val="center"/>
        <w:rPr>
          <w:b/>
          <w:color w:val="17365D" w:themeColor="text2" w:themeShade="BF"/>
          <w:sz w:val="24"/>
          <w:szCs w:val="20"/>
          <w:lang w:val="fr-FR"/>
        </w:rPr>
      </w:pPr>
      <w:r w:rsidRPr="00057DEF">
        <w:rPr>
          <w:b/>
          <w:color w:val="17365D" w:themeColor="text2" w:themeShade="BF"/>
          <w:sz w:val="24"/>
          <w:szCs w:val="20"/>
          <w:lang w:val="fr-FR"/>
        </w:rPr>
        <w:t xml:space="preserve">Pilotage programmatique </w:t>
      </w:r>
      <w:r w:rsidR="0012124A" w:rsidRPr="00057DEF">
        <w:rPr>
          <w:b/>
          <w:color w:val="17365D" w:themeColor="text2" w:themeShade="BF"/>
          <w:sz w:val="24"/>
          <w:szCs w:val="20"/>
          <w:lang w:val="fr-FR"/>
        </w:rPr>
        <w:t>Migration</w:t>
      </w:r>
    </w:p>
    <w:p w:rsidR="0012124A" w:rsidRPr="00057DEF" w:rsidRDefault="001D0209" w:rsidP="0012124A">
      <w:pPr>
        <w:jc w:val="center"/>
        <w:rPr>
          <w:b/>
          <w:color w:val="17365D" w:themeColor="text2" w:themeShade="BF"/>
          <w:sz w:val="24"/>
          <w:szCs w:val="20"/>
          <w:lang w:val="fr-FR"/>
        </w:rPr>
      </w:pPr>
      <w:r w:rsidRPr="00057DEF">
        <w:rPr>
          <w:b/>
          <w:color w:val="17365D" w:themeColor="text2" w:themeShade="BF"/>
          <w:sz w:val="24"/>
          <w:szCs w:val="20"/>
          <w:lang w:val="fr-FR"/>
        </w:rPr>
        <w:t>F</w:t>
      </w:r>
      <w:r w:rsidR="00691A2B" w:rsidRPr="00057DEF">
        <w:rPr>
          <w:b/>
          <w:color w:val="17365D" w:themeColor="text2" w:themeShade="BF"/>
          <w:sz w:val="24"/>
          <w:szCs w:val="20"/>
          <w:lang w:val="fr-FR"/>
        </w:rPr>
        <w:t>iche indicateurs</w:t>
      </w:r>
    </w:p>
    <w:p w:rsidR="00691A2B" w:rsidRPr="00057DEF" w:rsidRDefault="00511C9E" w:rsidP="00691A2B">
      <w:pPr>
        <w:rPr>
          <w:b/>
          <w:color w:val="17365D" w:themeColor="text2" w:themeShade="BF"/>
          <w:sz w:val="24"/>
          <w:szCs w:val="20"/>
        </w:rPr>
      </w:pPr>
      <w:r w:rsidRPr="00057DEF">
        <w:rPr>
          <w:b/>
          <w:color w:val="17365D" w:themeColor="text2" w:themeShade="BF"/>
          <w:sz w:val="24"/>
          <w:szCs w:val="20"/>
        </w:rPr>
        <w:t>Indicateur 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6877"/>
      </w:tblGrid>
      <w:tr w:rsidR="0012124A" w:rsidRPr="00381E12" w:rsidTr="00A73CC2">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2124A" w:rsidRPr="00057DEF" w:rsidRDefault="0012124A" w:rsidP="00A73CC2">
            <w:pPr>
              <w:tabs>
                <w:tab w:val="left" w:pos="3960"/>
              </w:tabs>
              <w:spacing w:after="120" w:line="240" w:lineRule="auto"/>
              <w:rPr>
                <w:rFonts w:eastAsia="Calibri" w:cs="Calibri"/>
                <w:b/>
                <w:bCs/>
                <w:lang w:val="en-US" w:eastAsia="fr-FR"/>
              </w:rPr>
            </w:pPr>
            <w:proofErr w:type="spellStart"/>
            <w:r w:rsidRPr="00057DEF">
              <w:rPr>
                <w:rFonts w:eastAsia="Calibri" w:cs="Calibri"/>
                <w:b/>
                <w:bCs/>
                <w:lang w:val="en-US" w:eastAsia="fr-FR"/>
              </w:rPr>
              <w:t>Indicateur</w:t>
            </w:r>
            <w:proofErr w:type="spellEnd"/>
            <w:r w:rsidRPr="00057DEF">
              <w:rPr>
                <w:rFonts w:eastAsia="Calibri" w:cs="Calibri"/>
                <w:b/>
                <w:bCs/>
                <w:lang w:val="en-US" w:eastAsia="fr-FR"/>
              </w:rPr>
              <w:t xml:space="preserve"> (</w:t>
            </w:r>
            <w:proofErr w:type="spellStart"/>
            <w:r w:rsidRPr="00057DEF">
              <w:rPr>
                <w:rFonts w:eastAsia="Calibri" w:cs="Calibri"/>
                <w:b/>
                <w:bCs/>
                <w:lang w:val="en-US" w:eastAsia="fr-FR"/>
              </w:rPr>
              <w:t>Titre</w:t>
            </w:r>
            <w:proofErr w:type="spellEnd"/>
            <w:r w:rsidRPr="00057DEF">
              <w:rPr>
                <w:rFonts w:eastAsia="Calibri" w:cs="Calibri"/>
                <w:b/>
                <w:bCs/>
                <w:lang w:val="en-US" w:eastAsia="fr-FR"/>
              </w:rPr>
              <w:t>)</w:t>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11C9E" w:rsidRPr="00057DEF" w:rsidRDefault="00511C9E" w:rsidP="00511C9E">
            <w:pPr>
              <w:spacing w:after="0"/>
              <w:rPr>
                <w:lang w:eastAsia="fr-CH"/>
              </w:rPr>
            </w:pPr>
            <w:r w:rsidRPr="00057DEF">
              <w:rPr>
                <w:lang w:eastAsia="fr-CH"/>
              </w:rPr>
              <w:t xml:space="preserve">Nombre et importance des positions et recommandations de Tdh relatives à la protection  des droits des enfants et jeunes concernés par la migration qui ont été </w:t>
            </w:r>
            <w:r w:rsidR="00517870" w:rsidRPr="00057DEF">
              <w:rPr>
                <w:lang w:eastAsia="fr-CH"/>
              </w:rPr>
              <w:t xml:space="preserve">reprises et </w:t>
            </w:r>
            <w:r w:rsidRPr="00057DEF">
              <w:rPr>
                <w:lang w:eastAsia="fr-CH"/>
              </w:rPr>
              <w:t>promues par des réseaux au niveau global, régional et national.</w:t>
            </w:r>
          </w:p>
          <w:p w:rsidR="00511C9E" w:rsidRPr="00057DEF" w:rsidRDefault="00511C9E" w:rsidP="00511C9E">
            <w:pPr>
              <w:spacing w:after="0"/>
              <w:rPr>
                <w:color w:val="1F497D" w:themeColor="text2"/>
                <w:lang w:eastAsia="fr-CH"/>
              </w:rPr>
            </w:pPr>
          </w:p>
          <w:p w:rsidR="00AB5329" w:rsidRPr="00057DEF" w:rsidRDefault="00511C9E" w:rsidP="00511C9E">
            <w:pPr>
              <w:spacing w:after="0"/>
              <w:rPr>
                <w:color w:val="1F497D" w:themeColor="text2"/>
                <w:lang w:val="en-GB" w:eastAsia="fr-CH"/>
              </w:rPr>
            </w:pPr>
            <w:r w:rsidRPr="00057DEF">
              <w:rPr>
                <w:color w:val="1F497D" w:themeColor="text2"/>
                <w:lang w:val="en-GB" w:eastAsia="fr-CH"/>
              </w:rPr>
              <w:t xml:space="preserve">(Number and importance of positions and recommendations promoted by Tdh regarding to protection of the rights of children and youth concerned by migration having been taken up and promoted by global, regional and national networks). </w:t>
            </w:r>
          </w:p>
        </w:tc>
      </w:tr>
      <w:tr w:rsidR="0012124A" w:rsidRPr="00B41085" w:rsidTr="00A73CC2">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2124A" w:rsidRPr="00057DEF" w:rsidRDefault="0012124A" w:rsidP="00A73CC2">
            <w:pPr>
              <w:tabs>
                <w:tab w:val="left" w:pos="3960"/>
              </w:tabs>
              <w:spacing w:after="120" w:line="240" w:lineRule="auto"/>
              <w:rPr>
                <w:rFonts w:eastAsia="Calibri" w:cs="Calibri"/>
                <w:b/>
                <w:bCs/>
                <w:lang w:eastAsia="fr-FR"/>
              </w:rPr>
            </w:pPr>
            <w:r w:rsidRPr="00057DEF">
              <w:rPr>
                <w:rFonts w:eastAsia="Calibri" w:cs="Calibri"/>
                <w:b/>
                <w:bCs/>
                <w:lang w:eastAsia="fr-FR"/>
              </w:rPr>
              <w:t>Définition</w:t>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737FC" w:rsidRPr="00057DEF" w:rsidRDefault="00517870" w:rsidP="00A706E0">
            <w:pPr>
              <w:spacing w:after="0"/>
              <w:rPr>
                <w:rFonts w:eastAsia="MS Mincho" w:cs="Helv"/>
                <w:color w:val="000000"/>
                <w:lang w:eastAsia="fr-CH"/>
              </w:rPr>
            </w:pPr>
            <w:r w:rsidRPr="00057DEF">
              <w:rPr>
                <w:u w:val="single"/>
                <w:lang w:eastAsia="fr-CH"/>
              </w:rPr>
              <w:t>Positions et recommandations de Tdh</w:t>
            </w:r>
            <w:r w:rsidR="0040302B" w:rsidRPr="00057DEF">
              <w:rPr>
                <w:u w:val="single"/>
                <w:lang w:eastAsia="fr-CH"/>
              </w:rPr>
              <w:t> :</w:t>
            </w:r>
            <w:r w:rsidRPr="00057DEF">
              <w:rPr>
                <w:b/>
                <w:lang w:eastAsia="fr-CH"/>
              </w:rPr>
              <w:t xml:space="preserve"> </w:t>
            </w:r>
            <w:r w:rsidR="009B6A1D" w:rsidRPr="00057DEF">
              <w:rPr>
                <w:rFonts w:eastAsia="MS Mincho" w:cs="Helv"/>
                <w:color w:val="000000"/>
                <w:lang w:eastAsia="fr-CH"/>
              </w:rPr>
              <w:t xml:space="preserve">Tout </w:t>
            </w:r>
            <w:r w:rsidRPr="00057DEF">
              <w:rPr>
                <w:rFonts w:eastAsia="MS Mincho" w:cs="Helv"/>
                <w:color w:val="000000"/>
                <w:lang w:eastAsia="fr-CH"/>
              </w:rPr>
              <w:t>positionn</w:t>
            </w:r>
            <w:r w:rsidR="00C32195" w:rsidRPr="00057DEF">
              <w:rPr>
                <w:rFonts w:eastAsia="MS Mincho" w:cs="Helv"/>
                <w:color w:val="000000"/>
                <w:lang w:eastAsia="fr-CH"/>
              </w:rPr>
              <w:t>ement institutionnel de Tdh relevant principalement ou accessoirement de la protection des enfants concernés par la migration.</w:t>
            </w:r>
          </w:p>
          <w:p w:rsidR="00452505" w:rsidRPr="00057DEF" w:rsidRDefault="00452505" w:rsidP="00A706E0">
            <w:pPr>
              <w:spacing w:after="0"/>
              <w:rPr>
                <w:rFonts w:eastAsia="MS Mincho" w:cs="Helv"/>
                <w:color w:val="000000"/>
                <w:lang w:eastAsia="fr-CH"/>
              </w:rPr>
            </w:pPr>
          </w:p>
          <w:p w:rsidR="00C32195" w:rsidRPr="00057DEF" w:rsidRDefault="00C32195" w:rsidP="00A706E0">
            <w:pPr>
              <w:spacing w:after="0"/>
              <w:rPr>
                <w:rFonts w:eastAsia="MS Mincho" w:cs="Helv"/>
                <w:color w:val="000000"/>
                <w:lang w:eastAsia="fr-CH"/>
              </w:rPr>
            </w:pPr>
            <w:r w:rsidRPr="00057DEF">
              <w:rPr>
                <w:u w:val="single"/>
                <w:lang w:eastAsia="fr-CH"/>
              </w:rPr>
              <w:t>Protection des droits :</w:t>
            </w:r>
            <w:r w:rsidRPr="00057DEF">
              <w:rPr>
                <w:b/>
                <w:lang w:eastAsia="fr-CH"/>
              </w:rPr>
              <w:t xml:space="preserve"> </w:t>
            </w:r>
            <w:r w:rsidRPr="00057DEF">
              <w:rPr>
                <w:lang w:eastAsia="fr-CH"/>
              </w:rPr>
              <w:t>A</w:t>
            </w:r>
            <w:r w:rsidRPr="00057DEF">
              <w:rPr>
                <w:rFonts w:eastAsia="MS Mincho" w:cs="Helv"/>
                <w:color w:val="000000"/>
                <w:lang w:eastAsia="fr-CH"/>
              </w:rPr>
              <w:t>u-delà du droit à la protection cont</w:t>
            </w:r>
            <w:r w:rsidR="0040302B" w:rsidRPr="00057DEF">
              <w:rPr>
                <w:rFonts w:eastAsia="MS Mincho" w:cs="Helv"/>
                <w:color w:val="000000"/>
                <w:lang w:eastAsia="fr-CH"/>
              </w:rPr>
              <w:t>r</w:t>
            </w:r>
            <w:r w:rsidRPr="00057DEF">
              <w:rPr>
                <w:rFonts w:eastAsia="MS Mincho" w:cs="Helv"/>
                <w:color w:val="000000"/>
                <w:lang w:eastAsia="fr-CH"/>
              </w:rPr>
              <w:t xml:space="preserve">e toute forme de violence, la protection des droits des enfants englobe l’ensemble des droits de l’enfant tels qu’inclus dans la convention internationale sur les droits de l’enfant </w:t>
            </w:r>
            <w:r w:rsidR="008C74F9" w:rsidRPr="00057DEF">
              <w:rPr>
                <w:rFonts w:eastAsia="MS Mincho" w:cs="Helv"/>
                <w:color w:val="000000"/>
                <w:lang w:eastAsia="fr-CH"/>
              </w:rPr>
              <w:t>ainsi</w:t>
            </w:r>
            <w:r w:rsidRPr="00057DEF">
              <w:rPr>
                <w:rFonts w:eastAsia="MS Mincho" w:cs="Helv"/>
                <w:color w:val="000000"/>
                <w:lang w:eastAsia="fr-CH"/>
              </w:rPr>
              <w:t xml:space="preserve"> qu’interprétés par le Comité des Droits de l’enfant</w:t>
            </w:r>
            <w:r w:rsidR="00037CF7" w:rsidRPr="00057DEF">
              <w:rPr>
                <w:rFonts w:eastAsia="MS Mincho" w:cs="Helv"/>
                <w:color w:val="000000"/>
                <w:lang w:eastAsia="fr-CH"/>
              </w:rPr>
              <w:t>.</w:t>
            </w:r>
          </w:p>
          <w:p w:rsidR="00037CF7" w:rsidRPr="00057DEF" w:rsidRDefault="00037CF7" w:rsidP="00A706E0">
            <w:pPr>
              <w:spacing w:after="0"/>
              <w:rPr>
                <w:rFonts w:eastAsia="MS Mincho" w:cs="Helv"/>
                <w:color w:val="000000"/>
                <w:lang w:eastAsia="fr-CH"/>
              </w:rPr>
            </w:pPr>
          </w:p>
          <w:p w:rsidR="00037CF7" w:rsidRPr="00057DEF" w:rsidRDefault="00F85A80" w:rsidP="00A706E0">
            <w:pPr>
              <w:spacing w:after="0"/>
              <w:rPr>
                <w:rFonts w:eastAsia="MS Mincho" w:cs="Helv"/>
                <w:color w:val="000000"/>
                <w:lang w:eastAsia="fr-CH"/>
              </w:rPr>
            </w:pPr>
            <w:r w:rsidRPr="00057DEF">
              <w:rPr>
                <w:u w:val="single"/>
                <w:lang w:eastAsia="fr-CH"/>
              </w:rPr>
              <w:t>Reprises et p</w:t>
            </w:r>
            <w:r w:rsidR="00037CF7" w:rsidRPr="00057DEF">
              <w:rPr>
                <w:u w:val="single"/>
                <w:lang w:eastAsia="fr-CH"/>
              </w:rPr>
              <w:t>romues :</w:t>
            </w:r>
            <w:r w:rsidR="00037CF7" w:rsidRPr="00057DEF">
              <w:rPr>
                <w:rFonts w:eastAsia="MS Mincho" w:cs="Helv"/>
                <w:color w:val="000000"/>
                <w:lang w:eastAsia="fr-CH"/>
              </w:rPr>
              <w:t xml:space="preserve"> processus </w:t>
            </w:r>
            <w:r w:rsidRPr="00057DEF">
              <w:rPr>
                <w:rFonts w:eastAsia="MS Mincho" w:cs="Helv"/>
                <w:color w:val="000000"/>
                <w:lang w:eastAsia="fr-CH"/>
              </w:rPr>
              <w:t xml:space="preserve">d’appropriation suivi d’une communication active </w:t>
            </w:r>
            <w:r w:rsidR="00037CF7" w:rsidRPr="00057DEF">
              <w:rPr>
                <w:rFonts w:eastAsia="MS Mincho" w:cs="Helv"/>
                <w:color w:val="000000"/>
                <w:lang w:eastAsia="fr-CH"/>
              </w:rPr>
              <w:t>et</w:t>
            </w:r>
            <w:r w:rsidRPr="00057DEF">
              <w:rPr>
                <w:rFonts w:eastAsia="MS Mincho" w:cs="Helv"/>
                <w:color w:val="000000"/>
                <w:lang w:eastAsia="fr-CH"/>
              </w:rPr>
              <w:t>/ou dissémination visant à i</w:t>
            </w:r>
            <w:r w:rsidR="00037CF7" w:rsidRPr="00057DEF">
              <w:rPr>
                <w:rFonts w:eastAsia="MS Mincho" w:cs="Helv"/>
                <w:color w:val="000000"/>
                <w:lang w:eastAsia="fr-CH"/>
              </w:rPr>
              <w:t>nfl</w:t>
            </w:r>
            <w:bookmarkStart w:id="0" w:name="_GoBack"/>
            <w:bookmarkEnd w:id="0"/>
            <w:r w:rsidR="00037CF7" w:rsidRPr="00057DEF">
              <w:rPr>
                <w:rFonts w:eastAsia="MS Mincho" w:cs="Helv"/>
                <w:color w:val="000000"/>
                <w:lang w:eastAsia="fr-CH"/>
              </w:rPr>
              <w:t>uence</w:t>
            </w:r>
            <w:r w:rsidRPr="00057DEF">
              <w:rPr>
                <w:rFonts w:eastAsia="MS Mincho" w:cs="Helv"/>
                <w:color w:val="000000"/>
                <w:lang w:eastAsia="fr-CH"/>
              </w:rPr>
              <w:t>r</w:t>
            </w:r>
            <w:r w:rsidR="00037CF7" w:rsidRPr="00057DEF">
              <w:rPr>
                <w:rFonts w:eastAsia="MS Mincho" w:cs="Helv"/>
                <w:color w:val="000000"/>
                <w:lang w:eastAsia="fr-CH"/>
              </w:rPr>
              <w:t xml:space="preserve"> le contenu </w:t>
            </w:r>
            <w:r w:rsidRPr="00057DEF">
              <w:rPr>
                <w:rFonts w:eastAsia="MS Mincho" w:cs="Helv"/>
                <w:color w:val="000000"/>
                <w:lang w:eastAsia="fr-CH"/>
              </w:rPr>
              <w:t>de normes et politiques publiques, ou de leur mise en œuvre opérationnelle.</w:t>
            </w:r>
          </w:p>
          <w:p w:rsidR="00F85A80" w:rsidRPr="00057DEF" w:rsidRDefault="00F85A80" w:rsidP="00A706E0">
            <w:pPr>
              <w:spacing w:after="0"/>
              <w:rPr>
                <w:rFonts w:eastAsia="MS Mincho" w:cs="Helv"/>
                <w:color w:val="000000"/>
                <w:lang w:eastAsia="fr-CH"/>
              </w:rPr>
            </w:pPr>
          </w:p>
          <w:p w:rsidR="00F85A80" w:rsidRPr="00057DEF" w:rsidRDefault="00F85A80" w:rsidP="00A706E0">
            <w:pPr>
              <w:spacing w:after="0"/>
              <w:rPr>
                <w:rFonts w:eastAsia="MS Mincho" w:cs="Helv"/>
                <w:color w:val="000000"/>
                <w:lang w:eastAsia="fr-CH"/>
              </w:rPr>
            </w:pPr>
            <w:r w:rsidRPr="00057DEF">
              <w:rPr>
                <w:u w:val="single"/>
                <w:lang w:eastAsia="fr-CH"/>
              </w:rPr>
              <w:t>Réseaux :</w:t>
            </w:r>
            <w:r w:rsidRPr="00057DEF">
              <w:rPr>
                <w:rFonts w:eastAsia="MS Mincho" w:cs="Helv"/>
                <w:color w:val="000000"/>
                <w:lang w:eastAsia="fr-CH"/>
              </w:rPr>
              <w:t xml:space="preserve"> Tout type d’alliance ou de partenariat qu’il soit formellement constitué ou non, public ou privé, regroupant au moins 2 entités, et reprenant les positions et recommandations de Tdh. Les réseaux en question ne nécessitent pas pour être comptabilisés, une participation active de Tdh en leur sein ou une affiliation formelle. Ainsi des réseaux d’autorités publiques (par exemple une alliance de municipalités) s’appropriant et défendant une position de Tdh devront être pris en compte.</w:t>
            </w:r>
          </w:p>
          <w:p w:rsidR="00C32195" w:rsidRPr="00057DEF" w:rsidRDefault="00C32195" w:rsidP="00A706E0">
            <w:pPr>
              <w:spacing w:after="0"/>
              <w:rPr>
                <w:rFonts w:eastAsia="MS Mincho" w:cs="Helv"/>
                <w:color w:val="000000"/>
                <w:lang w:eastAsia="fr-CH"/>
              </w:rPr>
            </w:pPr>
          </w:p>
          <w:p w:rsidR="00381E12" w:rsidRDefault="00381E12" w:rsidP="00381E12">
            <w:pPr>
              <w:spacing w:after="0"/>
              <w:rPr>
                <w:lang w:val="fr-FR"/>
              </w:rPr>
            </w:pPr>
            <w:r>
              <w:rPr>
                <w:u w:val="single"/>
              </w:rPr>
              <w:t>Enfants</w:t>
            </w:r>
            <w:r>
              <w:t xml:space="preserve"> : moins de 18 ans.  </w:t>
            </w:r>
            <w:r>
              <w:rPr>
                <w:u w:val="single"/>
              </w:rPr>
              <w:t>Jeunes</w:t>
            </w:r>
            <w:r>
              <w:t xml:space="preserve"> : 18-24 ans</w:t>
            </w:r>
          </w:p>
          <w:p w:rsidR="00381E12" w:rsidRDefault="00381E12" w:rsidP="00381E12">
            <w:pPr>
              <w:spacing w:after="0"/>
              <w:rPr>
                <w:lang w:val="fr-FR"/>
              </w:rPr>
            </w:pPr>
          </w:p>
          <w:p w:rsidR="00381E12" w:rsidRDefault="00381E12" w:rsidP="00381E12">
            <w:pPr>
              <w:spacing w:after="0"/>
            </w:pPr>
            <w:r>
              <w:rPr>
                <w:u w:val="single"/>
              </w:rPr>
              <w:t>Enfants et jeunes concernés par la migration</w:t>
            </w:r>
            <w:r>
              <w:t xml:space="preserve"> : Tout enfant/jeune appartenant à l’une au moins des 4 catégories suivantes :</w:t>
            </w:r>
          </w:p>
          <w:p w:rsidR="00381E12" w:rsidRDefault="00381E12" w:rsidP="00381E12">
            <w:pPr>
              <w:pStyle w:val="ListParagraph"/>
              <w:numPr>
                <w:ilvl w:val="0"/>
                <w:numId w:val="22"/>
              </w:numPr>
              <w:spacing w:after="0"/>
            </w:pPr>
            <w:r>
              <w:t>Enfants et jeunes en mouvement (engagés dans un processus de migration) ;</w:t>
            </w:r>
          </w:p>
          <w:p w:rsidR="00381E12" w:rsidRDefault="00381E12" w:rsidP="00381E12">
            <w:pPr>
              <w:pStyle w:val="ListParagraph"/>
              <w:numPr>
                <w:ilvl w:val="0"/>
                <w:numId w:val="22"/>
              </w:numPr>
              <w:spacing w:after="0"/>
            </w:pPr>
            <w:r>
              <w:lastRenderedPageBreak/>
              <w:t>Enfants et jeunes migrants potentiels (vivant dans des environnements fortement marqués par la migration des enfants et jeunes et/ ou des environnements qui poussent à se déplacer pour des raisons économiques, sociales, culturelles, historiques, politiques, etc.) ;</w:t>
            </w:r>
          </w:p>
          <w:p w:rsidR="00381E12" w:rsidRDefault="00381E12" w:rsidP="00381E12">
            <w:pPr>
              <w:pStyle w:val="ListParagraph"/>
              <w:numPr>
                <w:ilvl w:val="0"/>
                <w:numId w:val="22"/>
              </w:numPr>
              <w:spacing w:after="0"/>
            </w:pPr>
            <w:r>
              <w:t>Enfants et jeunes dont les proches (parents, fratries, tuteurs) sont partis en migration (</w:t>
            </w:r>
            <w:proofErr w:type="spellStart"/>
            <w:r>
              <w:t>children</w:t>
            </w:r>
            <w:proofErr w:type="spellEnd"/>
            <w:r>
              <w:t xml:space="preserve"> </w:t>
            </w:r>
            <w:proofErr w:type="spellStart"/>
            <w:r>
              <w:t>left</w:t>
            </w:r>
            <w:proofErr w:type="spellEnd"/>
            <w:r>
              <w:t xml:space="preserve"> </w:t>
            </w:r>
            <w:proofErr w:type="spellStart"/>
            <w:r>
              <w:t>behind</w:t>
            </w:r>
            <w:proofErr w:type="spellEnd"/>
            <w:r>
              <w:t>) ;</w:t>
            </w:r>
          </w:p>
          <w:p w:rsidR="00336649" w:rsidRPr="00381E12" w:rsidRDefault="00381E12" w:rsidP="00381E12">
            <w:pPr>
              <w:pStyle w:val="ListParagraph"/>
              <w:numPr>
                <w:ilvl w:val="0"/>
                <w:numId w:val="22"/>
              </w:numPr>
              <w:spacing w:after="0"/>
            </w:pPr>
            <w:r>
              <w:t>Enfants et jeunes sortis temporairement ou durablement de la migration (intégrés, réintégrés, de retour).</w:t>
            </w:r>
          </w:p>
        </w:tc>
      </w:tr>
      <w:tr w:rsidR="0012124A" w:rsidRPr="00B41085" w:rsidTr="00A73CC2">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2124A" w:rsidRPr="00057DEF" w:rsidRDefault="0012124A" w:rsidP="00A73CC2">
            <w:pPr>
              <w:tabs>
                <w:tab w:val="left" w:pos="3960"/>
              </w:tabs>
              <w:spacing w:after="120" w:line="240" w:lineRule="auto"/>
              <w:rPr>
                <w:rFonts w:eastAsia="Calibri" w:cs="Calibri"/>
                <w:b/>
                <w:bCs/>
                <w:lang w:eastAsia="fr-FR"/>
              </w:rPr>
            </w:pPr>
            <w:r w:rsidRPr="00057DEF">
              <w:rPr>
                <w:rFonts w:eastAsia="Calibri" w:cs="Calibri"/>
                <w:b/>
                <w:bCs/>
                <w:lang w:eastAsia="fr-FR"/>
              </w:rPr>
              <w:lastRenderedPageBreak/>
              <w:t xml:space="preserve">Ce qu’il mesure </w:t>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6649" w:rsidRPr="00057DEF" w:rsidRDefault="00A706E0" w:rsidP="00DA7EB5">
            <w:pPr>
              <w:spacing w:after="0"/>
              <w:rPr>
                <w:rFonts w:cs="Arial"/>
                <w:lang w:val="fr-FR"/>
              </w:rPr>
            </w:pPr>
            <w:r w:rsidRPr="00057DEF">
              <w:rPr>
                <w:rFonts w:cs="Arial"/>
                <w:lang w:val="fr-FR"/>
              </w:rPr>
              <w:t>Cet indicateur permet de mesurer</w:t>
            </w:r>
            <w:r w:rsidR="0040302B" w:rsidRPr="00057DEF">
              <w:rPr>
                <w:rFonts w:cs="Arial"/>
                <w:lang w:val="fr-FR"/>
              </w:rPr>
              <w:t xml:space="preserve"> </w:t>
            </w:r>
            <w:r w:rsidR="00037CF7" w:rsidRPr="00057DEF">
              <w:rPr>
                <w:rFonts w:cs="Arial"/>
                <w:lang w:val="fr-FR"/>
              </w:rPr>
              <w:t>le nombre de recommandation</w:t>
            </w:r>
            <w:r w:rsidR="00336649" w:rsidRPr="00057DEF">
              <w:rPr>
                <w:rFonts w:cs="Arial"/>
                <w:lang w:val="fr-FR"/>
              </w:rPr>
              <w:t xml:space="preserve">s et positionnements de Tdh ayant fait l’objet d’une promotion autre que celle </w:t>
            </w:r>
            <w:r w:rsidR="008C74F9" w:rsidRPr="00057DEF">
              <w:rPr>
                <w:rFonts w:cs="Arial"/>
                <w:lang w:val="fr-FR"/>
              </w:rPr>
              <w:t>de Tdh. Il permet de mieux cerner la portée des positions et recommandations de Tdh à plusieurs niveaux, en permettant de différenc</w:t>
            </w:r>
            <w:r w:rsidR="00DA7EB5" w:rsidRPr="00057DEF">
              <w:rPr>
                <w:rFonts w:cs="Arial"/>
                <w:lang w:val="fr-FR"/>
              </w:rPr>
              <w:t>ier la portée de notre travail au travers de réseaux et alliances au niveaux global, régional, national et local.</w:t>
            </w:r>
          </w:p>
        </w:tc>
      </w:tr>
      <w:tr w:rsidR="0012124A" w:rsidRPr="00B41085" w:rsidTr="00A73CC2">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2124A" w:rsidRPr="00057DEF" w:rsidRDefault="0012124A" w:rsidP="00A73CC2">
            <w:pPr>
              <w:tabs>
                <w:tab w:val="left" w:pos="3960"/>
              </w:tabs>
              <w:spacing w:after="120" w:line="240" w:lineRule="auto"/>
              <w:rPr>
                <w:rFonts w:eastAsia="Calibri" w:cs="Calibri"/>
                <w:b/>
                <w:bCs/>
                <w:lang w:eastAsia="fr-FR"/>
              </w:rPr>
            </w:pPr>
            <w:r w:rsidRPr="00057DEF">
              <w:rPr>
                <w:rFonts w:eastAsia="Calibri" w:cs="Calibri"/>
                <w:b/>
                <w:bCs/>
                <w:lang w:eastAsia="fr-FR"/>
              </w:rPr>
              <w:t xml:space="preserve">Unité et désagrégation </w:t>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tcPr>
          <w:p w:rsidR="00E37997" w:rsidRDefault="00E37997" w:rsidP="00A56EBA">
            <w:pPr>
              <w:spacing w:after="0"/>
              <w:rPr>
                <w:rFonts w:eastAsiaTheme="minorEastAsia" w:cs="Arial"/>
                <w:lang w:eastAsia="fr-CH"/>
              </w:rPr>
            </w:pPr>
            <w:r w:rsidRPr="00057DEF">
              <w:rPr>
                <w:rFonts w:eastAsiaTheme="minorEastAsia" w:cs="Arial"/>
                <w:lang w:eastAsia="fr-CH"/>
              </w:rPr>
              <w:t xml:space="preserve">Unité : </w:t>
            </w:r>
            <w:r w:rsidR="00390CB2" w:rsidRPr="00057DEF">
              <w:rPr>
                <w:rFonts w:eastAsiaTheme="minorEastAsia" w:cs="Arial"/>
                <w:lang w:eastAsia="fr-CH"/>
              </w:rPr>
              <w:t>recomma</w:t>
            </w:r>
            <w:r w:rsidR="00DA7EB5" w:rsidRPr="00057DEF">
              <w:rPr>
                <w:rFonts w:eastAsiaTheme="minorEastAsia" w:cs="Arial"/>
                <w:lang w:eastAsia="fr-CH"/>
              </w:rPr>
              <w:t>ndation ou position reprise et/ou promue.</w:t>
            </w:r>
          </w:p>
          <w:p w:rsidR="00057DEF" w:rsidRPr="00057DEF" w:rsidRDefault="00057DEF" w:rsidP="00A56EBA">
            <w:pPr>
              <w:spacing w:after="0"/>
              <w:rPr>
                <w:rFonts w:eastAsiaTheme="minorEastAsia" w:cs="Arial"/>
                <w:lang w:eastAsia="fr-CH"/>
              </w:rPr>
            </w:pPr>
          </w:p>
          <w:p w:rsidR="00D737FC" w:rsidRPr="00057DEF" w:rsidRDefault="00E37997" w:rsidP="00057DEF">
            <w:pPr>
              <w:spacing w:after="0"/>
              <w:rPr>
                <w:rFonts w:eastAsiaTheme="minorEastAsia" w:cs="Arial"/>
                <w:lang w:eastAsia="fr-CH"/>
              </w:rPr>
            </w:pPr>
            <w:r w:rsidRPr="00057DEF">
              <w:rPr>
                <w:rFonts w:eastAsiaTheme="minorEastAsia" w:cs="Arial"/>
                <w:lang w:eastAsia="fr-CH"/>
              </w:rPr>
              <w:t>Désagrégation par </w:t>
            </w:r>
            <w:r w:rsidR="00057DEF">
              <w:rPr>
                <w:rFonts w:eastAsiaTheme="minorEastAsia" w:cs="Arial"/>
                <w:lang w:eastAsia="fr-CH"/>
              </w:rPr>
              <w:t>type de n</w:t>
            </w:r>
            <w:r w:rsidR="00F85A80" w:rsidRPr="00057DEF">
              <w:rPr>
                <w:rFonts w:eastAsiaTheme="minorEastAsia" w:cs="Arial"/>
                <w:lang w:eastAsia="fr-CH"/>
              </w:rPr>
              <w:t>iveau : global, régional, national ou local.</w:t>
            </w:r>
          </w:p>
        </w:tc>
      </w:tr>
      <w:tr w:rsidR="0012124A" w:rsidRPr="00B41085" w:rsidTr="00A73CC2">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2124A" w:rsidRPr="00057DEF" w:rsidRDefault="0012124A" w:rsidP="00A73CC2">
            <w:pPr>
              <w:tabs>
                <w:tab w:val="left" w:pos="3960"/>
              </w:tabs>
              <w:spacing w:after="120" w:line="240" w:lineRule="auto"/>
              <w:rPr>
                <w:rFonts w:eastAsia="Calibri" w:cs="Calibri"/>
                <w:b/>
                <w:bCs/>
                <w:lang w:eastAsia="fr-FR"/>
              </w:rPr>
            </w:pPr>
            <w:r w:rsidRPr="00057DEF">
              <w:rPr>
                <w:rFonts w:eastAsia="Calibri" w:cs="Calibri"/>
                <w:b/>
                <w:bCs/>
                <w:lang w:eastAsia="fr-FR"/>
              </w:rPr>
              <w:t>Mode de calcul</w:t>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85A80" w:rsidRPr="00057DEF" w:rsidRDefault="008C6FDE" w:rsidP="008C6FDE">
            <w:pPr>
              <w:spacing w:after="0"/>
              <w:rPr>
                <w:rFonts w:cs="Arial"/>
                <w:lang w:val="fr-FR"/>
              </w:rPr>
            </w:pPr>
            <w:r w:rsidRPr="00057DEF">
              <w:rPr>
                <w:rFonts w:cs="Arial"/>
                <w:lang w:val="fr-FR"/>
              </w:rPr>
              <w:t>A</w:t>
            </w:r>
            <w:r w:rsidR="009B6A1D" w:rsidRPr="00057DEF">
              <w:rPr>
                <w:rFonts w:cs="Arial"/>
                <w:lang w:val="fr-FR"/>
              </w:rPr>
              <w:t>ddition</w:t>
            </w:r>
            <w:r w:rsidR="001E2B8E" w:rsidRPr="00057DEF">
              <w:rPr>
                <w:rFonts w:cs="Arial"/>
                <w:lang w:val="fr-FR"/>
              </w:rPr>
              <w:t xml:space="preserve"> du nombre de </w:t>
            </w:r>
            <w:r w:rsidR="00F85A80" w:rsidRPr="00057DEF">
              <w:rPr>
                <w:rFonts w:cs="Arial"/>
                <w:lang w:val="fr-FR"/>
              </w:rPr>
              <w:t>position ou recommandation reprises et promues par un réseau. Dans l’hypothèse ou plusieurs réseaux reprennent une position ou recommandation, il conviendra de comptabiliser le nombre de réseaux ayant repris et</w:t>
            </w:r>
            <w:r w:rsidR="00DA7EB5" w:rsidRPr="00057DEF">
              <w:rPr>
                <w:rFonts w:cs="Arial"/>
                <w:lang w:val="fr-FR"/>
              </w:rPr>
              <w:t>/ou</w:t>
            </w:r>
            <w:r w:rsidR="00F85A80" w:rsidRPr="00057DEF">
              <w:rPr>
                <w:rFonts w:cs="Arial"/>
                <w:lang w:val="fr-FR"/>
              </w:rPr>
              <w:t xml:space="preserve"> promu la position ou recommandation en question.</w:t>
            </w:r>
          </w:p>
        </w:tc>
      </w:tr>
      <w:tr w:rsidR="0012124A" w:rsidRPr="00B41085" w:rsidTr="00A73CC2">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2124A" w:rsidRPr="00057DEF" w:rsidRDefault="0012124A" w:rsidP="00A73CC2">
            <w:pPr>
              <w:tabs>
                <w:tab w:val="left" w:pos="3960"/>
              </w:tabs>
              <w:spacing w:after="120" w:line="240" w:lineRule="auto"/>
              <w:rPr>
                <w:rFonts w:eastAsia="Calibri" w:cs="Calibri"/>
                <w:b/>
                <w:bCs/>
                <w:lang w:eastAsia="fr-FR"/>
              </w:rPr>
            </w:pPr>
            <w:r w:rsidRPr="00057DEF">
              <w:rPr>
                <w:rFonts w:eastAsia="Calibri" w:cs="Calibri"/>
                <w:b/>
                <w:bCs/>
                <w:lang w:eastAsia="fr-FR"/>
              </w:rPr>
              <w:t xml:space="preserve">Baseline </w:t>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tcPr>
          <w:p w:rsidR="00283E0F" w:rsidRPr="00057DEF" w:rsidRDefault="00283E0F" w:rsidP="00F85A80">
            <w:pPr>
              <w:spacing w:after="0"/>
              <w:rPr>
                <w:rFonts w:cs="Arial"/>
                <w:lang w:val="fr-FR"/>
              </w:rPr>
            </w:pPr>
            <w:r w:rsidRPr="00057DEF">
              <w:rPr>
                <w:rFonts w:cs="Arial"/>
                <w:lang w:val="fr-FR"/>
              </w:rPr>
              <w:t>N/A</w:t>
            </w:r>
          </w:p>
          <w:p w:rsidR="0043352E" w:rsidRPr="00057DEF" w:rsidRDefault="0043352E" w:rsidP="00F85A80">
            <w:pPr>
              <w:spacing w:after="0"/>
              <w:rPr>
                <w:rFonts w:cs="Arial"/>
                <w:lang w:val="fr-FR"/>
              </w:rPr>
            </w:pPr>
            <w:r w:rsidRPr="00057DEF">
              <w:rPr>
                <w:rFonts w:cs="Arial"/>
                <w:lang w:val="fr-FR"/>
              </w:rPr>
              <w:t xml:space="preserve">Dans une démarche de redevabilité et d’apprentissage, il est cependant important de procéder à une analyse qualitative du travail mené par Tdh et </w:t>
            </w:r>
            <w:r w:rsidR="00F85A80" w:rsidRPr="00057DEF">
              <w:rPr>
                <w:rFonts w:cs="Arial"/>
                <w:lang w:val="fr-FR"/>
              </w:rPr>
              <w:t>d’établir un lien de causalité entre la position ou recommandation de Tdh et son utilisation par un réseau.</w:t>
            </w:r>
            <w:r w:rsidRPr="00057DEF">
              <w:rPr>
                <w:rFonts w:cs="Arial"/>
                <w:lang w:val="fr-FR"/>
              </w:rPr>
              <w:t xml:space="preserve"> (</w:t>
            </w:r>
            <w:proofErr w:type="spellStart"/>
            <w:r w:rsidRPr="00057DEF">
              <w:rPr>
                <w:rFonts w:cs="Arial"/>
                <w:lang w:val="fr-FR"/>
              </w:rPr>
              <w:t>c.f</w:t>
            </w:r>
            <w:proofErr w:type="spellEnd"/>
            <w:r w:rsidRPr="00057DEF">
              <w:rPr>
                <w:rFonts w:cs="Arial"/>
                <w:lang w:val="fr-FR"/>
              </w:rPr>
              <w:t>. méthodologie plus bas)</w:t>
            </w:r>
          </w:p>
        </w:tc>
      </w:tr>
      <w:tr w:rsidR="0012124A" w:rsidRPr="00B41085" w:rsidTr="00A73CC2">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2124A" w:rsidRPr="00057DEF" w:rsidRDefault="0012124A" w:rsidP="00A73CC2">
            <w:pPr>
              <w:tabs>
                <w:tab w:val="left" w:pos="3960"/>
              </w:tabs>
              <w:spacing w:after="120" w:line="240" w:lineRule="auto"/>
              <w:rPr>
                <w:rFonts w:eastAsia="Calibri" w:cs="Calibri"/>
                <w:b/>
                <w:bCs/>
                <w:highlight w:val="yellow"/>
                <w:lang w:eastAsia="fr-FR"/>
              </w:rPr>
            </w:pPr>
            <w:r w:rsidRPr="00057DEF">
              <w:rPr>
                <w:rFonts w:eastAsia="Calibri" w:cs="Calibri"/>
                <w:b/>
                <w:bCs/>
                <w:lang w:eastAsia="fr-FR"/>
              </w:rPr>
              <w:t xml:space="preserve">Sources et méthodes de collecte </w:t>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tcPr>
          <w:p w:rsidR="00792425" w:rsidRPr="00057DEF" w:rsidRDefault="0012124A" w:rsidP="00090CDB">
            <w:pPr>
              <w:spacing w:after="0"/>
              <w:rPr>
                <w:rFonts w:cs="Arial"/>
              </w:rPr>
            </w:pPr>
            <w:r w:rsidRPr="00576E09">
              <w:rPr>
                <w:rFonts w:cs="Arial"/>
                <w:u w:val="single"/>
              </w:rPr>
              <w:t>Sources</w:t>
            </w:r>
            <w:r w:rsidRPr="00057DEF">
              <w:rPr>
                <w:rFonts w:cs="Arial"/>
              </w:rPr>
              <w:t xml:space="preserve"> : </w:t>
            </w:r>
          </w:p>
          <w:p w:rsidR="00852693" w:rsidRPr="00057DEF" w:rsidRDefault="00DA7EB5" w:rsidP="001E2B8E">
            <w:pPr>
              <w:pStyle w:val="ListParagraph"/>
              <w:numPr>
                <w:ilvl w:val="0"/>
                <w:numId w:val="17"/>
              </w:numPr>
              <w:spacing w:after="0"/>
              <w:rPr>
                <w:rFonts w:cs="Arial"/>
              </w:rPr>
            </w:pPr>
            <w:r w:rsidRPr="00057DEF">
              <w:rPr>
                <w:rFonts w:cs="Arial"/>
              </w:rPr>
              <w:t>Media </w:t>
            </w:r>
          </w:p>
          <w:p w:rsidR="00DA7EB5" w:rsidRPr="00057DEF" w:rsidRDefault="00DA7EB5" w:rsidP="001E2B8E">
            <w:pPr>
              <w:pStyle w:val="ListParagraph"/>
              <w:numPr>
                <w:ilvl w:val="0"/>
                <w:numId w:val="17"/>
              </w:numPr>
              <w:spacing w:after="0"/>
              <w:rPr>
                <w:rFonts w:cs="Arial"/>
              </w:rPr>
            </w:pPr>
            <w:r w:rsidRPr="00057DEF">
              <w:rPr>
                <w:rFonts w:cs="Arial"/>
              </w:rPr>
              <w:t>Sites spécialisés (sites gouvernementaux ou parlementaires, d’organisations internationales etc.)</w:t>
            </w:r>
          </w:p>
          <w:p w:rsidR="00D737FC" w:rsidRPr="00057DEF" w:rsidRDefault="00DA7EB5" w:rsidP="00090CDB">
            <w:pPr>
              <w:pStyle w:val="ListParagraph"/>
              <w:numPr>
                <w:ilvl w:val="0"/>
                <w:numId w:val="17"/>
              </w:numPr>
              <w:spacing w:after="0"/>
              <w:rPr>
                <w:rFonts w:cs="Arial"/>
              </w:rPr>
            </w:pPr>
            <w:r w:rsidRPr="00057DEF">
              <w:rPr>
                <w:rFonts w:cs="Arial"/>
              </w:rPr>
              <w:t>Rapports divers (de conférences, de groupes de travail, de rencontres ad hoc etc.)</w:t>
            </w:r>
          </w:p>
          <w:p w:rsidR="0012124A" w:rsidRPr="00057DEF" w:rsidRDefault="005A18E3" w:rsidP="00090CDB">
            <w:pPr>
              <w:spacing w:after="0"/>
              <w:rPr>
                <w:rFonts w:cs="Arial"/>
              </w:rPr>
            </w:pPr>
            <w:r w:rsidRPr="00576E09">
              <w:rPr>
                <w:rFonts w:cs="Arial"/>
                <w:u w:val="single"/>
              </w:rPr>
              <w:t>Méthodes de collecte :</w:t>
            </w:r>
            <w:r w:rsidRPr="00057DEF">
              <w:rPr>
                <w:rFonts w:cs="Arial"/>
              </w:rPr>
              <w:t xml:space="preserve"> </w:t>
            </w:r>
            <w:r w:rsidR="00852693" w:rsidRPr="00057DEF">
              <w:rPr>
                <w:rFonts w:cs="Arial"/>
              </w:rPr>
              <w:t>revue documentaire.</w:t>
            </w:r>
          </w:p>
        </w:tc>
      </w:tr>
      <w:tr w:rsidR="0012124A" w:rsidRPr="00B41085" w:rsidTr="00A73CC2">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2124A" w:rsidRPr="00057DEF" w:rsidRDefault="0012124A" w:rsidP="00A73CC2">
            <w:pPr>
              <w:tabs>
                <w:tab w:val="left" w:pos="3960"/>
              </w:tabs>
              <w:spacing w:after="120" w:line="240" w:lineRule="auto"/>
              <w:rPr>
                <w:rFonts w:eastAsia="Calibri" w:cs="Calibri"/>
                <w:b/>
                <w:bCs/>
                <w:lang w:val="en-US" w:eastAsia="fr-FR"/>
              </w:rPr>
            </w:pPr>
            <w:proofErr w:type="spellStart"/>
            <w:r w:rsidRPr="00057DEF">
              <w:rPr>
                <w:rFonts w:eastAsia="Calibri" w:cs="Calibri"/>
                <w:b/>
                <w:bCs/>
                <w:lang w:val="en-US" w:eastAsia="fr-FR"/>
              </w:rPr>
              <w:t>Outils</w:t>
            </w:r>
            <w:proofErr w:type="spellEnd"/>
            <w:r w:rsidRPr="00057DEF">
              <w:rPr>
                <w:rFonts w:eastAsia="Calibri" w:cs="Calibri"/>
                <w:b/>
                <w:bCs/>
                <w:lang w:val="en-US" w:eastAsia="fr-FR"/>
              </w:rPr>
              <w:t xml:space="preserve"> de </w:t>
            </w:r>
            <w:proofErr w:type="spellStart"/>
            <w:r w:rsidRPr="00057DEF">
              <w:rPr>
                <w:rFonts w:eastAsia="Calibri" w:cs="Calibri"/>
                <w:b/>
                <w:bCs/>
                <w:lang w:val="en-US" w:eastAsia="fr-FR"/>
              </w:rPr>
              <w:t>collecte</w:t>
            </w:r>
            <w:proofErr w:type="spellEnd"/>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tcPr>
          <w:p w:rsidR="005A539A" w:rsidRPr="00576E09" w:rsidRDefault="00576E09" w:rsidP="00090CDB">
            <w:pPr>
              <w:spacing w:after="0"/>
              <w:rPr>
                <w:rFonts w:eastAsiaTheme="minorEastAsia" w:cs="Arial"/>
                <w:lang w:eastAsia="fr-CH"/>
              </w:rPr>
            </w:pPr>
            <w:r>
              <w:rPr>
                <w:rFonts w:eastAsiaTheme="minorEastAsia" w:cs="Arial"/>
                <w:szCs w:val="20"/>
                <w:lang w:eastAsia="fr-CH"/>
              </w:rPr>
              <w:t xml:space="preserve">Revue documentaire assurée par le </w:t>
            </w:r>
            <w:r w:rsidRPr="00ED76AB">
              <w:rPr>
                <w:rFonts w:eastAsiaTheme="minorEastAsia" w:cs="Arial"/>
                <w:lang w:eastAsia="fr-CH"/>
              </w:rPr>
              <w:t>personne</w:t>
            </w:r>
            <w:r>
              <w:rPr>
                <w:rFonts w:eastAsiaTheme="minorEastAsia" w:cs="Arial"/>
                <w:lang w:eastAsia="fr-CH"/>
              </w:rPr>
              <w:t xml:space="preserve"> responsable qui représente </w:t>
            </w:r>
            <w:proofErr w:type="spellStart"/>
            <w:r>
              <w:rPr>
                <w:rFonts w:eastAsiaTheme="minorEastAsia" w:cs="Arial"/>
                <w:lang w:eastAsia="fr-CH"/>
              </w:rPr>
              <w:t>Tdh</w:t>
            </w:r>
            <w:proofErr w:type="spellEnd"/>
            <w:r>
              <w:rPr>
                <w:rFonts w:eastAsiaTheme="minorEastAsia" w:cs="Arial"/>
                <w:lang w:eastAsia="fr-CH"/>
              </w:rPr>
              <w:t xml:space="preserve"> dans les réseaux</w:t>
            </w:r>
          </w:p>
        </w:tc>
      </w:tr>
      <w:tr w:rsidR="0012124A" w:rsidRPr="00B41085" w:rsidTr="00A73CC2">
        <w:tc>
          <w:tcPr>
            <w:tcW w:w="2303" w:type="dxa"/>
            <w:tcBorders>
              <w:top w:val="nil"/>
              <w:left w:val="single" w:sz="4" w:space="0" w:color="auto"/>
              <w:bottom w:val="single" w:sz="4" w:space="0" w:color="auto"/>
              <w:right w:val="single" w:sz="4" w:space="0" w:color="auto"/>
            </w:tcBorders>
            <w:shd w:val="clear" w:color="auto" w:fill="DBE5F1" w:themeFill="accent1" w:themeFillTint="33"/>
            <w:hideMark/>
          </w:tcPr>
          <w:p w:rsidR="0012124A" w:rsidRPr="00057DEF" w:rsidRDefault="0012124A" w:rsidP="00A73CC2">
            <w:pPr>
              <w:tabs>
                <w:tab w:val="left" w:pos="3960"/>
              </w:tabs>
              <w:spacing w:after="120" w:line="240" w:lineRule="auto"/>
              <w:rPr>
                <w:rFonts w:eastAsia="Calibri" w:cs="Calibri"/>
                <w:b/>
                <w:bCs/>
                <w:lang w:eastAsia="fr-FR"/>
              </w:rPr>
            </w:pPr>
            <w:r w:rsidRPr="00057DEF">
              <w:rPr>
                <w:rFonts w:eastAsia="Calibri" w:cs="Calibri"/>
                <w:b/>
                <w:bCs/>
                <w:lang w:eastAsia="fr-FR"/>
              </w:rPr>
              <w:t>Temporalité</w:t>
            </w:r>
          </w:p>
        </w:tc>
        <w:tc>
          <w:tcPr>
            <w:tcW w:w="6877" w:type="dxa"/>
            <w:tcBorders>
              <w:top w:val="nil"/>
              <w:left w:val="single" w:sz="4" w:space="0" w:color="auto"/>
              <w:bottom w:val="single" w:sz="4" w:space="0" w:color="auto"/>
              <w:right w:val="single" w:sz="4" w:space="0" w:color="auto"/>
            </w:tcBorders>
            <w:shd w:val="clear" w:color="auto" w:fill="FFFFFF" w:themeFill="background1"/>
          </w:tcPr>
          <w:p w:rsidR="0012124A" w:rsidRPr="00576E09" w:rsidRDefault="00E37997" w:rsidP="00D21877">
            <w:pPr>
              <w:spacing w:after="0" w:line="240" w:lineRule="auto"/>
              <w:rPr>
                <w:rFonts w:eastAsiaTheme="minorEastAsia" w:cs="Arial"/>
                <w:lang w:eastAsia="fr-CH"/>
              </w:rPr>
            </w:pPr>
            <w:r w:rsidRPr="00576E09">
              <w:rPr>
                <w:rFonts w:eastAsiaTheme="minorEastAsia" w:cs="Arial"/>
                <w:lang w:eastAsia="fr-CH"/>
              </w:rPr>
              <w:t>Tous les 6 mois</w:t>
            </w:r>
            <w:r w:rsidR="00852693" w:rsidRPr="00576E09">
              <w:rPr>
                <w:rFonts w:eastAsiaTheme="minorEastAsia" w:cs="Arial"/>
                <w:lang w:eastAsia="fr-CH"/>
              </w:rPr>
              <w:t xml:space="preserve"> pour </w:t>
            </w:r>
            <w:proofErr w:type="spellStart"/>
            <w:r w:rsidR="00D95060" w:rsidRPr="00576E09">
              <w:rPr>
                <w:rFonts w:eastAsiaTheme="minorEastAsia" w:cs="Arial"/>
                <w:lang w:eastAsia="fr-CH"/>
              </w:rPr>
              <w:t>reporti</w:t>
            </w:r>
            <w:r w:rsidR="00CC73A9" w:rsidRPr="00576E09">
              <w:rPr>
                <w:rFonts w:eastAsiaTheme="minorEastAsia" w:cs="Arial"/>
                <w:lang w:eastAsia="fr-CH"/>
              </w:rPr>
              <w:t>ng</w:t>
            </w:r>
            <w:proofErr w:type="spellEnd"/>
            <w:r w:rsidR="00CC73A9" w:rsidRPr="00576E09">
              <w:rPr>
                <w:rFonts w:eastAsiaTheme="minorEastAsia" w:cs="Arial"/>
                <w:lang w:eastAsia="fr-CH"/>
              </w:rPr>
              <w:t>/</w:t>
            </w:r>
            <w:r w:rsidR="00852693" w:rsidRPr="00576E09">
              <w:rPr>
                <w:rFonts w:eastAsiaTheme="minorEastAsia" w:cs="Arial"/>
                <w:lang w:eastAsia="fr-CH"/>
              </w:rPr>
              <w:t>évaluation ; monitoring continu.</w:t>
            </w:r>
          </w:p>
        </w:tc>
      </w:tr>
      <w:tr w:rsidR="0012124A" w:rsidRPr="00B41085" w:rsidTr="00A73CC2">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2124A" w:rsidRPr="00057DEF" w:rsidRDefault="0012124A" w:rsidP="00A73CC2">
            <w:pPr>
              <w:tabs>
                <w:tab w:val="left" w:pos="3960"/>
              </w:tabs>
              <w:spacing w:after="120" w:line="240" w:lineRule="auto"/>
              <w:rPr>
                <w:rFonts w:eastAsia="Calibri" w:cs="Calibri"/>
                <w:b/>
                <w:bCs/>
                <w:lang w:eastAsia="fr-FR"/>
              </w:rPr>
            </w:pPr>
            <w:r w:rsidRPr="00057DEF">
              <w:rPr>
                <w:rFonts w:eastAsia="Calibri" w:cs="Calibri"/>
                <w:b/>
                <w:bCs/>
                <w:lang w:eastAsia="fr-FR"/>
              </w:rPr>
              <w:t>Rôles et responsabilités</w:t>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tcPr>
          <w:p w:rsidR="00576E09" w:rsidRPr="00057DEF" w:rsidRDefault="00576E09" w:rsidP="00675022">
            <w:pPr>
              <w:spacing w:after="120" w:line="240" w:lineRule="auto"/>
              <w:rPr>
                <w:rFonts w:eastAsiaTheme="minorEastAsia"/>
                <w:lang w:eastAsia="fr-CH"/>
              </w:rPr>
            </w:pPr>
            <w:r w:rsidRPr="00CF170B">
              <w:rPr>
                <w:rFonts w:eastAsiaTheme="minorEastAsia"/>
                <w:lang w:eastAsia="fr-CH"/>
              </w:rPr>
              <w:t>Collecte</w:t>
            </w:r>
            <w:r>
              <w:rPr>
                <w:rFonts w:eastAsiaTheme="minorEastAsia"/>
                <w:lang w:eastAsia="fr-CH"/>
              </w:rPr>
              <w:t>, Traitement et Analyse</w:t>
            </w:r>
            <w:r w:rsidRPr="00CF170B">
              <w:rPr>
                <w:rFonts w:eastAsiaTheme="minorEastAsia"/>
                <w:lang w:eastAsia="fr-CH"/>
              </w:rPr>
              <w:t> : Responsable programme migration</w:t>
            </w:r>
            <w:r>
              <w:rPr>
                <w:rFonts w:eastAsiaTheme="minorEastAsia"/>
                <w:lang w:eastAsia="fr-CH"/>
              </w:rPr>
              <w:t xml:space="preserve">, </w:t>
            </w:r>
            <w:r w:rsidRPr="00CF170B">
              <w:rPr>
                <w:rFonts w:eastAsiaTheme="minorEastAsia"/>
                <w:lang w:eastAsia="fr-CH"/>
              </w:rPr>
              <w:t>coordinateurs régionaux migration</w:t>
            </w:r>
            <w:r>
              <w:rPr>
                <w:rFonts w:eastAsiaTheme="minorEastAsia"/>
                <w:lang w:eastAsia="fr-CH"/>
              </w:rPr>
              <w:t>, Délégués / Responsables de projets / Responsables de Communication-plaidoyer</w:t>
            </w:r>
          </w:p>
        </w:tc>
      </w:tr>
      <w:tr w:rsidR="0012124A" w:rsidRPr="00B41085" w:rsidTr="00A73CC2">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2124A" w:rsidRPr="00576E09" w:rsidRDefault="0012124A" w:rsidP="00A73CC2">
            <w:pPr>
              <w:tabs>
                <w:tab w:val="left" w:pos="3960"/>
              </w:tabs>
              <w:spacing w:after="120" w:line="240" w:lineRule="auto"/>
              <w:rPr>
                <w:rFonts w:eastAsia="Calibri" w:cs="Calibri"/>
                <w:b/>
                <w:bCs/>
                <w:lang w:eastAsia="fr-FR"/>
              </w:rPr>
            </w:pPr>
            <w:r w:rsidRPr="00576E09">
              <w:rPr>
                <w:rFonts w:eastAsia="Calibri" w:cs="Calibri"/>
                <w:b/>
                <w:bCs/>
                <w:lang w:eastAsia="fr-FR"/>
              </w:rPr>
              <w:t>Enjeux liés à la qualité préconisés</w:t>
            </w:r>
          </w:p>
          <w:p w:rsidR="0012124A" w:rsidRPr="00576E09" w:rsidRDefault="0012124A" w:rsidP="00A73CC2">
            <w:pPr>
              <w:tabs>
                <w:tab w:val="left" w:pos="3960"/>
              </w:tabs>
              <w:spacing w:after="120" w:line="240" w:lineRule="auto"/>
              <w:rPr>
                <w:rFonts w:eastAsia="Calibri" w:cs="Calibri"/>
                <w:b/>
                <w:bCs/>
                <w:lang w:eastAsia="fr-FR"/>
              </w:rPr>
            </w:pP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tcPr>
          <w:p w:rsidR="0012124A" w:rsidRPr="00576E09" w:rsidRDefault="00792425" w:rsidP="00675022">
            <w:pPr>
              <w:spacing w:after="0" w:line="240" w:lineRule="auto"/>
              <w:jc w:val="both"/>
              <w:rPr>
                <w:rFonts w:eastAsiaTheme="minorEastAsia" w:cs="Arial"/>
                <w:lang w:eastAsia="fr-CH"/>
              </w:rPr>
            </w:pPr>
            <w:r w:rsidRPr="00576E09">
              <w:rPr>
                <w:rFonts w:eastAsiaTheme="minorEastAsia" w:cs="Arial"/>
                <w:lang w:eastAsia="fr-CH"/>
              </w:rPr>
              <w:t xml:space="preserve">S’assurer de </w:t>
            </w:r>
            <w:r w:rsidR="00F85A80" w:rsidRPr="00576E09">
              <w:rPr>
                <w:rFonts w:eastAsiaTheme="minorEastAsia" w:cs="Arial"/>
                <w:lang w:eastAsia="fr-CH"/>
              </w:rPr>
              <w:t>la documentation du processus d’appropriation</w:t>
            </w:r>
            <w:r w:rsidRPr="00576E09">
              <w:rPr>
                <w:rFonts w:eastAsiaTheme="minorEastAsia" w:cs="Arial"/>
                <w:lang w:eastAsia="fr-CH"/>
              </w:rPr>
              <w:t>, en systématisant une culture de collecte rigoureuse d</w:t>
            </w:r>
            <w:r w:rsidR="00D95060" w:rsidRPr="00576E09">
              <w:rPr>
                <w:rFonts w:eastAsiaTheme="minorEastAsia" w:cs="Arial"/>
                <w:lang w:eastAsia="fr-CH"/>
              </w:rPr>
              <w:t xml:space="preserve">es </w:t>
            </w:r>
            <w:r w:rsidRPr="00576E09">
              <w:rPr>
                <w:rFonts w:eastAsiaTheme="minorEastAsia" w:cs="Arial"/>
                <w:lang w:eastAsia="fr-CH"/>
              </w:rPr>
              <w:t xml:space="preserve">éléments qualitatifs </w:t>
            </w:r>
            <w:r w:rsidR="00D95060" w:rsidRPr="00576E09">
              <w:rPr>
                <w:rFonts w:eastAsiaTheme="minorEastAsia" w:cs="Arial"/>
                <w:lang w:eastAsia="fr-CH"/>
              </w:rPr>
              <w:t xml:space="preserve">démontrant ou </w:t>
            </w:r>
            <w:r w:rsidRPr="00576E09">
              <w:rPr>
                <w:rFonts w:eastAsiaTheme="minorEastAsia" w:cs="Arial"/>
                <w:lang w:eastAsia="fr-CH"/>
              </w:rPr>
              <w:t xml:space="preserve">étayant l’argument selon lequel Tdh est à l’origine ou </w:t>
            </w:r>
            <w:r w:rsidR="00D95060" w:rsidRPr="00576E09">
              <w:rPr>
                <w:rFonts w:eastAsiaTheme="minorEastAsia" w:cs="Arial"/>
                <w:lang w:eastAsia="fr-CH"/>
              </w:rPr>
              <w:t>a</w:t>
            </w:r>
            <w:r w:rsidRPr="00576E09">
              <w:rPr>
                <w:rFonts w:eastAsiaTheme="minorEastAsia" w:cs="Arial"/>
                <w:lang w:eastAsia="fr-CH"/>
              </w:rPr>
              <w:t xml:space="preserve"> contribué au changement observé.</w:t>
            </w:r>
          </w:p>
        </w:tc>
      </w:tr>
      <w:tr w:rsidR="0012124A" w:rsidRPr="00B41085" w:rsidTr="00A73CC2">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2124A" w:rsidRPr="00576E09" w:rsidRDefault="0012124A" w:rsidP="00A73CC2">
            <w:pPr>
              <w:tabs>
                <w:tab w:val="left" w:pos="3960"/>
              </w:tabs>
              <w:spacing w:after="120" w:line="240" w:lineRule="auto"/>
              <w:rPr>
                <w:rFonts w:eastAsia="Calibri" w:cs="Calibri"/>
                <w:b/>
                <w:bCs/>
                <w:lang w:val="en-US" w:eastAsia="fr-FR"/>
              </w:rPr>
            </w:pPr>
            <w:r w:rsidRPr="00576E09">
              <w:rPr>
                <w:rFonts w:eastAsia="Calibri" w:cs="Calibri"/>
                <w:b/>
                <w:bCs/>
                <w:lang w:val="en-US" w:eastAsia="fr-FR"/>
              </w:rPr>
              <w:lastRenderedPageBreak/>
              <w:t xml:space="preserve">Plan </w:t>
            </w:r>
            <w:proofErr w:type="spellStart"/>
            <w:r w:rsidRPr="00576E09">
              <w:rPr>
                <w:rFonts w:eastAsia="Calibri" w:cs="Calibri"/>
                <w:b/>
                <w:bCs/>
                <w:lang w:val="en-US" w:eastAsia="fr-FR"/>
              </w:rPr>
              <w:t>d’analyse</w:t>
            </w:r>
            <w:proofErr w:type="spellEnd"/>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tcPr>
          <w:p w:rsidR="001E2B8E" w:rsidRPr="00576E09" w:rsidRDefault="001E2B8E" w:rsidP="00390CB2">
            <w:pPr>
              <w:spacing w:after="0"/>
              <w:jc w:val="both"/>
              <w:rPr>
                <w:rFonts w:cs="Arial"/>
                <w:lang w:val="fr-FR"/>
              </w:rPr>
            </w:pPr>
            <w:r w:rsidRPr="00576E09">
              <w:rPr>
                <w:rFonts w:cs="Arial"/>
                <w:lang w:val="fr-FR"/>
              </w:rPr>
              <w:t xml:space="preserve">Cet indicateur n’a pas vocation à mesurer l’impact </w:t>
            </w:r>
            <w:r w:rsidR="00F85A80" w:rsidRPr="00576E09">
              <w:rPr>
                <w:rFonts w:cs="Arial"/>
                <w:lang w:val="fr-FR"/>
              </w:rPr>
              <w:t>de la reprise sur</w:t>
            </w:r>
            <w:r w:rsidRPr="00576E09">
              <w:rPr>
                <w:rFonts w:cs="Arial"/>
                <w:lang w:val="fr-FR"/>
              </w:rPr>
              <w:t xml:space="preserve"> les normes, politiques ou procédures que Tdh </w:t>
            </w:r>
            <w:r w:rsidR="00F85A80" w:rsidRPr="00576E09">
              <w:rPr>
                <w:rFonts w:cs="Arial"/>
                <w:lang w:val="fr-FR"/>
              </w:rPr>
              <w:t>et les réseaux tentent d’</w:t>
            </w:r>
            <w:r w:rsidRPr="00576E09">
              <w:rPr>
                <w:rFonts w:cs="Arial"/>
                <w:lang w:val="fr-FR"/>
              </w:rPr>
              <w:t>influencer positivement.</w:t>
            </w:r>
          </w:p>
          <w:p w:rsidR="001E2B8E" w:rsidRPr="00576E09" w:rsidRDefault="001E2B8E" w:rsidP="00390CB2">
            <w:pPr>
              <w:spacing w:after="0"/>
              <w:jc w:val="both"/>
              <w:rPr>
                <w:rFonts w:cs="Arial"/>
                <w:lang w:val="fr-FR"/>
              </w:rPr>
            </w:pPr>
            <w:r w:rsidRPr="00576E09">
              <w:rPr>
                <w:rFonts w:cs="Arial"/>
                <w:lang w:val="fr-FR"/>
              </w:rPr>
              <w:t xml:space="preserve">Il prétend simplement démontrer les résultats concrets des actions de Tdh </w:t>
            </w:r>
            <w:r w:rsidR="00DA7EB5" w:rsidRPr="00576E09">
              <w:rPr>
                <w:rFonts w:cs="Arial"/>
                <w:lang w:val="fr-FR"/>
              </w:rPr>
              <w:t>dans son travail</w:t>
            </w:r>
            <w:r w:rsidR="00F85A80" w:rsidRPr="00576E09">
              <w:rPr>
                <w:rFonts w:cs="Arial"/>
                <w:lang w:val="fr-FR"/>
              </w:rPr>
              <w:t xml:space="preserve"> de réseau.</w:t>
            </w:r>
          </w:p>
          <w:p w:rsidR="009F1E13" w:rsidRPr="00576E09" w:rsidRDefault="001E2B8E" w:rsidP="00390CB2">
            <w:pPr>
              <w:spacing w:after="0"/>
              <w:jc w:val="both"/>
              <w:rPr>
                <w:rFonts w:cs="Arial"/>
                <w:i/>
                <w:lang w:val="fr-FR"/>
              </w:rPr>
            </w:pPr>
            <w:r w:rsidRPr="00576E09">
              <w:rPr>
                <w:rFonts w:cs="Arial"/>
                <w:lang w:val="fr-FR"/>
              </w:rPr>
              <w:t xml:space="preserve">Ainsi, il conviendra de démontrer </w:t>
            </w:r>
            <w:r w:rsidR="00DA7EB5" w:rsidRPr="00576E09">
              <w:rPr>
                <w:rFonts w:cs="Arial"/>
                <w:lang w:val="fr-FR"/>
              </w:rPr>
              <w:t>l’existence d’un</w:t>
            </w:r>
            <w:r w:rsidRPr="00576E09">
              <w:rPr>
                <w:rFonts w:cs="Arial"/>
                <w:lang w:val="fr-FR"/>
              </w:rPr>
              <w:t xml:space="preserve"> lien entre les </w:t>
            </w:r>
            <w:r w:rsidR="00DA7EB5" w:rsidRPr="00576E09">
              <w:rPr>
                <w:rFonts w:cs="Arial"/>
                <w:lang w:val="fr-FR"/>
              </w:rPr>
              <w:t>positions et recommandations émanant de</w:t>
            </w:r>
            <w:r w:rsidRPr="00576E09">
              <w:rPr>
                <w:rFonts w:cs="Arial"/>
                <w:lang w:val="fr-FR"/>
              </w:rPr>
              <w:t xml:space="preserve"> Tdh et </w:t>
            </w:r>
            <w:r w:rsidR="00DA7EB5" w:rsidRPr="00576E09">
              <w:rPr>
                <w:rFonts w:cs="Arial"/>
                <w:lang w:val="fr-FR"/>
              </w:rPr>
              <w:t xml:space="preserve">leur reprise par d’autres réseaux. Il est important de ne pas comptabiliser les recommandations et positions « génériques » qui sont défendues </w:t>
            </w:r>
            <w:r w:rsidR="00390CB2" w:rsidRPr="00576E09">
              <w:rPr>
                <w:rFonts w:cs="Arial"/>
                <w:lang w:val="fr-FR"/>
              </w:rPr>
              <w:t>par Tdh de la même manière que ses partenaires.</w:t>
            </w:r>
            <w:r w:rsidR="00390CB2" w:rsidRPr="00576E09">
              <w:rPr>
                <w:rFonts w:cs="Arial"/>
                <w:i/>
                <w:lang w:val="fr-FR"/>
              </w:rPr>
              <w:t xml:space="preserve"> </w:t>
            </w:r>
          </w:p>
        </w:tc>
      </w:tr>
      <w:tr w:rsidR="0012124A" w:rsidRPr="00B41085" w:rsidTr="00A73CC2">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2124A" w:rsidRPr="00576E09" w:rsidRDefault="0012124A" w:rsidP="00A73CC2">
            <w:pPr>
              <w:tabs>
                <w:tab w:val="left" w:pos="3960"/>
              </w:tabs>
              <w:spacing w:after="120" w:line="240" w:lineRule="auto"/>
              <w:rPr>
                <w:rFonts w:eastAsia="Calibri" w:cs="Calibri"/>
                <w:b/>
                <w:bCs/>
                <w:lang w:val="en-US" w:eastAsia="fr-FR"/>
              </w:rPr>
            </w:pPr>
            <w:proofErr w:type="spellStart"/>
            <w:r w:rsidRPr="00576E09">
              <w:rPr>
                <w:rFonts w:eastAsia="Calibri" w:cs="Calibri"/>
                <w:b/>
                <w:bCs/>
                <w:lang w:val="en-US" w:eastAsia="fr-FR"/>
              </w:rPr>
              <w:t>Res</w:t>
            </w:r>
            <w:r w:rsidR="00D737FC" w:rsidRPr="00576E09">
              <w:rPr>
                <w:rFonts w:eastAsia="Calibri" w:cs="Calibri"/>
                <w:b/>
                <w:bCs/>
                <w:lang w:val="en-US" w:eastAsia="fr-FR"/>
              </w:rPr>
              <w:t>s</w:t>
            </w:r>
            <w:r w:rsidRPr="00576E09">
              <w:rPr>
                <w:rFonts w:eastAsia="Calibri" w:cs="Calibri"/>
                <w:b/>
                <w:bCs/>
                <w:lang w:val="en-US" w:eastAsia="fr-FR"/>
              </w:rPr>
              <w:t>ources</w:t>
            </w:r>
            <w:proofErr w:type="spellEnd"/>
            <w:r w:rsidRPr="00576E09">
              <w:rPr>
                <w:rFonts w:eastAsia="Calibri" w:cs="Calibri"/>
                <w:b/>
                <w:bCs/>
                <w:lang w:val="en-US" w:eastAsia="fr-FR"/>
              </w:rPr>
              <w:t xml:space="preserve">  </w:t>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tcPr>
          <w:p w:rsidR="00576E09" w:rsidRDefault="00576E09" w:rsidP="00576E09">
            <w:pPr>
              <w:spacing w:after="0"/>
              <w:jc w:val="both"/>
              <w:rPr>
                <w:rFonts w:eastAsiaTheme="minorEastAsia"/>
                <w:lang w:eastAsia="fr-CH"/>
              </w:rPr>
            </w:pPr>
            <w:r w:rsidRPr="00CF170B">
              <w:rPr>
                <w:rFonts w:eastAsiaTheme="minorEastAsia" w:cs="Arial"/>
                <w:lang w:eastAsia="fr-CH"/>
              </w:rPr>
              <w:t xml:space="preserve">La collecte d’information ne nécessite pas de ressources supplémentaires à celles déjà engagées </w:t>
            </w:r>
            <w:r>
              <w:rPr>
                <w:rFonts w:eastAsiaTheme="minorEastAsia" w:cs="Arial"/>
                <w:lang w:eastAsia="fr-CH"/>
              </w:rPr>
              <w:t>(r</w:t>
            </w:r>
            <w:r w:rsidRPr="00CF170B">
              <w:rPr>
                <w:rFonts w:eastAsiaTheme="minorEastAsia"/>
                <w:lang w:eastAsia="fr-CH"/>
              </w:rPr>
              <w:t>esponsable programme migration</w:t>
            </w:r>
            <w:r>
              <w:rPr>
                <w:rFonts w:eastAsiaTheme="minorEastAsia"/>
                <w:lang w:eastAsia="fr-CH"/>
              </w:rPr>
              <w:t xml:space="preserve">, </w:t>
            </w:r>
            <w:r w:rsidRPr="00CF170B">
              <w:rPr>
                <w:rFonts w:eastAsiaTheme="minorEastAsia"/>
                <w:lang w:eastAsia="fr-CH"/>
              </w:rPr>
              <w:t>coordinateurs régionaux migration</w:t>
            </w:r>
            <w:r>
              <w:rPr>
                <w:rFonts w:eastAsiaTheme="minorEastAsia"/>
                <w:lang w:eastAsia="fr-CH"/>
              </w:rPr>
              <w:t>, Délégués / Responsables de projets / Responsables de Communication-plaidoyer)</w:t>
            </w:r>
          </w:p>
          <w:p w:rsidR="00576E09" w:rsidRDefault="00576E09" w:rsidP="00576E09">
            <w:pPr>
              <w:spacing w:after="0"/>
              <w:jc w:val="both"/>
              <w:rPr>
                <w:rFonts w:eastAsiaTheme="minorEastAsia"/>
                <w:lang w:eastAsia="fr-CH"/>
              </w:rPr>
            </w:pPr>
          </w:p>
          <w:p w:rsidR="0012124A" w:rsidRPr="00576E09" w:rsidRDefault="00576E09" w:rsidP="00576E09">
            <w:pPr>
              <w:spacing w:after="0"/>
              <w:rPr>
                <w:rFonts w:cs="Arial"/>
                <w:i/>
                <w:lang w:val="fr-FR"/>
              </w:rPr>
            </w:pPr>
            <w:r>
              <w:rPr>
                <w:rFonts w:eastAsiaTheme="minorEastAsia"/>
                <w:lang w:eastAsia="fr-CH"/>
              </w:rPr>
              <w:t>Mobilisation : 1 jour par trimestre</w:t>
            </w:r>
          </w:p>
        </w:tc>
      </w:tr>
    </w:tbl>
    <w:p w:rsidR="00226764" w:rsidRPr="00B41085" w:rsidRDefault="00226764" w:rsidP="00390CB2">
      <w:pPr>
        <w:rPr>
          <w:rFonts w:cs="Helv"/>
          <w:color w:val="000000"/>
          <w:sz w:val="20"/>
          <w:szCs w:val="20"/>
        </w:rPr>
      </w:pPr>
    </w:p>
    <w:sectPr w:rsidR="00226764" w:rsidRPr="00B41085" w:rsidSect="000764A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EBD" w:rsidRDefault="00431EBD" w:rsidP="00691A2B">
      <w:pPr>
        <w:spacing w:after="0" w:line="240" w:lineRule="auto"/>
      </w:pPr>
      <w:r>
        <w:separator/>
      </w:r>
    </w:p>
  </w:endnote>
  <w:endnote w:type="continuationSeparator" w:id="0">
    <w:p w:rsidR="00431EBD" w:rsidRDefault="00431EBD" w:rsidP="00691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EBD" w:rsidRDefault="00431EBD" w:rsidP="00691A2B">
      <w:pPr>
        <w:spacing w:after="0" w:line="240" w:lineRule="auto"/>
      </w:pPr>
      <w:r>
        <w:separator/>
      </w:r>
    </w:p>
  </w:footnote>
  <w:footnote w:type="continuationSeparator" w:id="0">
    <w:p w:rsidR="00431EBD" w:rsidRDefault="00431EBD" w:rsidP="00691A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A80" w:rsidRPr="00691A2B" w:rsidRDefault="00F85A80">
    <w:pPr>
      <w:pStyle w:val="Header"/>
      <w:rPr>
        <w:i/>
      </w:rPr>
    </w:pPr>
    <w:r w:rsidRPr="00691A2B">
      <w:rPr>
        <w:i/>
        <w:noProof/>
        <w:lang w:eastAsia="fr-CH"/>
      </w:rPr>
      <w:drawing>
        <wp:anchor distT="0" distB="0" distL="114300" distR="114300" simplePos="0" relativeHeight="251659264" behindDoc="0" locked="0" layoutInCell="1" allowOverlap="1" wp14:anchorId="25B90D0A" wp14:editId="4735EC8F">
          <wp:simplePos x="0" y="0"/>
          <wp:positionH relativeFrom="margin">
            <wp:posOffset>4552950</wp:posOffset>
          </wp:positionH>
          <wp:positionV relativeFrom="margin">
            <wp:posOffset>-534670</wp:posOffset>
          </wp:positionV>
          <wp:extent cx="1604010" cy="277495"/>
          <wp:effectExtent l="0" t="0" r="0" b="825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4010" cy="277495"/>
                  </a:xfrm>
                  <a:prstGeom prst="rect">
                    <a:avLst/>
                  </a:prstGeom>
                  <a:noFill/>
                </pic:spPr>
              </pic:pic>
            </a:graphicData>
          </a:graphic>
          <wp14:sizeRelH relativeFrom="page">
            <wp14:pctWidth>0</wp14:pctWidth>
          </wp14:sizeRelH>
          <wp14:sizeRelV relativeFrom="page">
            <wp14:pctHeight>0</wp14:pctHeight>
          </wp14:sizeRelV>
        </wp:anchor>
      </w:drawing>
    </w:r>
    <w:r w:rsidR="00057DEF">
      <w:rPr>
        <w:i/>
      </w:rPr>
      <w:t>21.09.2017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160D"/>
    <w:multiLevelType w:val="hybridMultilevel"/>
    <w:tmpl w:val="655AC2EA"/>
    <w:lvl w:ilvl="0" w:tplc="B1F204E0">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13333D4B"/>
    <w:multiLevelType w:val="hybridMultilevel"/>
    <w:tmpl w:val="73A27BFC"/>
    <w:lvl w:ilvl="0" w:tplc="51CA1802">
      <w:start w:val="1"/>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14C506CF"/>
    <w:multiLevelType w:val="hybridMultilevel"/>
    <w:tmpl w:val="59F805B0"/>
    <w:lvl w:ilvl="0" w:tplc="6C4AD3E4">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1B857F31"/>
    <w:multiLevelType w:val="hybridMultilevel"/>
    <w:tmpl w:val="4EBE2C5C"/>
    <w:lvl w:ilvl="0" w:tplc="91F4AEC6">
      <w:start w:val="4"/>
      <w:numFmt w:val="bullet"/>
      <w:lvlText w:val=""/>
      <w:lvlJc w:val="left"/>
      <w:pPr>
        <w:ind w:left="720" w:hanging="360"/>
      </w:pPr>
      <w:rPr>
        <w:rFonts w:ascii="Wingdings" w:eastAsiaTheme="minorHAnsi"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20FC2047"/>
    <w:multiLevelType w:val="hybridMultilevel"/>
    <w:tmpl w:val="14AEA4FE"/>
    <w:lvl w:ilvl="0" w:tplc="D1E48E78">
      <w:numFmt w:val="bullet"/>
      <w:lvlText w:val="-"/>
      <w:lvlJc w:val="left"/>
      <w:pPr>
        <w:ind w:left="720" w:hanging="360"/>
      </w:pPr>
      <w:rPr>
        <w:rFonts w:ascii="Arial" w:eastAsiaTheme="minorHAnsi" w:hAnsi="Arial" w:cs="Arial" w:hint="default"/>
        <w:color w:val="222222"/>
        <w:sz w:val="22"/>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2DC759A8"/>
    <w:multiLevelType w:val="hybridMultilevel"/>
    <w:tmpl w:val="9158622E"/>
    <w:lvl w:ilvl="0" w:tplc="589495F0">
      <w:start w:val="1"/>
      <w:numFmt w:val="decimal"/>
      <w:lvlText w:val="%1."/>
      <w:lvlJc w:val="left"/>
      <w:pPr>
        <w:ind w:left="934" w:hanging="360"/>
      </w:pPr>
      <w:rPr>
        <w:rFonts w:hint="default"/>
      </w:rPr>
    </w:lvl>
    <w:lvl w:ilvl="1" w:tplc="100C0019" w:tentative="1">
      <w:start w:val="1"/>
      <w:numFmt w:val="lowerLetter"/>
      <w:lvlText w:val="%2."/>
      <w:lvlJc w:val="left"/>
      <w:pPr>
        <w:ind w:left="1654" w:hanging="360"/>
      </w:pPr>
    </w:lvl>
    <w:lvl w:ilvl="2" w:tplc="100C001B" w:tentative="1">
      <w:start w:val="1"/>
      <w:numFmt w:val="lowerRoman"/>
      <w:lvlText w:val="%3."/>
      <w:lvlJc w:val="right"/>
      <w:pPr>
        <w:ind w:left="2374" w:hanging="180"/>
      </w:pPr>
    </w:lvl>
    <w:lvl w:ilvl="3" w:tplc="100C000F" w:tentative="1">
      <w:start w:val="1"/>
      <w:numFmt w:val="decimal"/>
      <w:lvlText w:val="%4."/>
      <w:lvlJc w:val="left"/>
      <w:pPr>
        <w:ind w:left="3094" w:hanging="360"/>
      </w:pPr>
    </w:lvl>
    <w:lvl w:ilvl="4" w:tplc="100C0019" w:tentative="1">
      <w:start w:val="1"/>
      <w:numFmt w:val="lowerLetter"/>
      <w:lvlText w:val="%5."/>
      <w:lvlJc w:val="left"/>
      <w:pPr>
        <w:ind w:left="3814" w:hanging="360"/>
      </w:pPr>
    </w:lvl>
    <w:lvl w:ilvl="5" w:tplc="100C001B" w:tentative="1">
      <w:start w:val="1"/>
      <w:numFmt w:val="lowerRoman"/>
      <w:lvlText w:val="%6."/>
      <w:lvlJc w:val="right"/>
      <w:pPr>
        <w:ind w:left="4534" w:hanging="180"/>
      </w:pPr>
    </w:lvl>
    <w:lvl w:ilvl="6" w:tplc="100C000F" w:tentative="1">
      <w:start w:val="1"/>
      <w:numFmt w:val="decimal"/>
      <w:lvlText w:val="%7."/>
      <w:lvlJc w:val="left"/>
      <w:pPr>
        <w:ind w:left="5254" w:hanging="360"/>
      </w:pPr>
    </w:lvl>
    <w:lvl w:ilvl="7" w:tplc="100C0019" w:tentative="1">
      <w:start w:val="1"/>
      <w:numFmt w:val="lowerLetter"/>
      <w:lvlText w:val="%8."/>
      <w:lvlJc w:val="left"/>
      <w:pPr>
        <w:ind w:left="5974" w:hanging="360"/>
      </w:pPr>
    </w:lvl>
    <w:lvl w:ilvl="8" w:tplc="100C001B" w:tentative="1">
      <w:start w:val="1"/>
      <w:numFmt w:val="lowerRoman"/>
      <w:lvlText w:val="%9."/>
      <w:lvlJc w:val="right"/>
      <w:pPr>
        <w:ind w:left="6694" w:hanging="180"/>
      </w:pPr>
    </w:lvl>
  </w:abstractNum>
  <w:abstractNum w:abstractNumId="6">
    <w:nsid w:val="31357E4C"/>
    <w:multiLevelType w:val="hybridMultilevel"/>
    <w:tmpl w:val="BFE8E31E"/>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nsid w:val="35040BD3"/>
    <w:multiLevelType w:val="hybridMultilevel"/>
    <w:tmpl w:val="89CAB1C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nsid w:val="36424ECD"/>
    <w:multiLevelType w:val="hybridMultilevel"/>
    <w:tmpl w:val="2B407B00"/>
    <w:lvl w:ilvl="0" w:tplc="100C0019">
      <w:start w:val="1"/>
      <w:numFmt w:val="lowerLetter"/>
      <w:lvlText w:val="%1."/>
      <w:lvlJc w:val="left"/>
      <w:pPr>
        <w:ind w:left="720" w:hanging="360"/>
      </w:pPr>
    </w:lvl>
    <w:lvl w:ilvl="1" w:tplc="BA5A9D42">
      <w:start w:val="1"/>
      <w:numFmt w:val="lowerLetter"/>
      <w:lvlText w:val="%2."/>
      <w:lvlJc w:val="left"/>
      <w:pPr>
        <w:ind w:left="1440" w:hanging="360"/>
      </w:pPr>
    </w:lvl>
    <w:lvl w:ilvl="2" w:tplc="657A6324">
      <w:start w:val="1"/>
      <w:numFmt w:val="lowerRoman"/>
      <w:lvlText w:val="%3."/>
      <w:lvlJc w:val="right"/>
      <w:pPr>
        <w:ind w:left="2160" w:hanging="180"/>
      </w:pPr>
    </w:lvl>
    <w:lvl w:ilvl="3" w:tplc="D2A2062A">
      <w:start w:val="1"/>
      <w:numFmt w:val="decimal"/>
      <w:lvlText w:val="%4."/>
      <w:lvlJc w:val="left"/>
      <w:pPr>
        <w:ind w:left="2880" w:hanging="360"/>
      </w:pPr>
    </w:lvl>
    <w:lvl w:ilvl="4" w:tplc="B760595A">
      <w:start w:val="1"/>
      <w:numFmt w:val="lowerLetter"/>
      <w:lvlText w:val="%5."/>
      <w:lvlJc w:val="left"/>
      <w:pPr>
        <w:ind w:left="3600" w:hanging="360"/>
      </w:pPr>
    </w:lvl>
    <w:lvl w:ilvl="5" w:tplc="6BFC1AAA">
      <w:start w:val="1"/>
      <w:numFmt w:val="lowerRoman"/>
      <w:lvlText w:val="%6."/>
      <w:lvlJc w:val="right"/>
      <w:pPr>
        <w:ind w:left="4320" w:hanging="180"/>
      </w:pPr>
    </w:lvl>
    <w:lvl w:ilvl="6" w:tplc="457271C2">
      <w:start w:val="1"/>
      <w:numFmt w:val="decimal"/>
      <w:lvlText w:val="%7."/>
      <w:lvlJc w:val="left"/>
      <w:pPr>
        <w:ind w:left="5040" w:hanging="360"/>
      </w:pPr>
    </w:lvl>
    <w:lvl w:ilvl="7" w:tplc="7A1E3B84">
      <w:start w:val="1"/>
      <w:numFmt w:val="lowerLetter"/>
      <w:lvlText w:val="%8."/>
      <w:lvlJc w:val="left"/>
      <w:pPr>
        <w:ind w:left="5760" w:hanging="360"/>
      </w:pPr>
    </w:lvl>
    <w:lvl w:ilvl="8" w:tplc="B608F6AC">
      <w:start w:val="1"/>
      <w:numFmt w:val="lowerRoman"/>
      <w:lvlText w:val="%9."/>
      <w:lvlJc w:val="right"/>
      <w:pPr>
        <w:ind w:left="6480" w:hanging="180"/>
      </w:pPr>
    </w:lvl>
  </w:abstractNum>
  <w:abstractNum w:abstractNumId="9">
    <w:nsid w:val="3A4D4B17"/>
    <w:multiLevelType w:val="hybridMultilevel"/>
    <w:tmpl w:val="F0EAEF64"/>
    <w:lvl w:ilvl="0" w:tplc="6D98E0D4">
      <w:start w:val="1"/>
      <w:numFmt w:val="decimal"/>
      <w:lvlText w:val="%1."/>
      <w:lvlJc w:val="left"/>
      <w:pPr>
        <w:ind w:left="720" w:hanging="360"/>
      </w:pPr>
    </w:lvl>
    <w:lvl w:ilvl="1" w:tplc="BA5A9D42">
      <w:start w:val="1"/>
      <w:numFmt w:val="lowerLetter"/>
      <w:lvlText w:val="%2."/>
      <w:lvlJc w:val="left"/>
      <w:pPr>
        <w:ind w:left="1440" w:hanging="360"/>
      </w:pPr>
    </w:lvl>
    <w:lvl w:ilvl="2" w:tplc="657A6324">
      <w:start w:val="1"/>
      <w:numFmt w:val="lowerRoman"/>
      <w:lvlText w:val="%3."/>
      <w:lvlJc w:val="right"/>
      <w:pPr>
        <w:ind w:left="2160" w:hanging="180"/>
      </w:pPr>
    </w:lvl>
    <w:lvl w:ilvl="3" w:tplc="D2A2062A">
      <w:start w:val="1"/>
      <w:numFmt w:val="decimal"/>
      <w:lvlText w:val="%4."/>
      <w:lvlJc w:val="left"/>
      <w:pPr>
        <w:ind w:left="2880" w:hanging="360"/>
      </w:pPr>
    </w:lvl>
    <w:lvl w:ilvl="4" w:tplc="B760595A">
      <w:start w:val="1"/>
      <w:numFmt w:val="lowerLetter"/>
      <w:lvlText w:val="%5."/>
      <w:lvlJc w:val="left"/>
      <w:pPr>
        <w:ind w:left="3600" w:hanging="360"/>
      </w:pPr>
    </w:lvl>
    <w:lvl w:ilvl="5" w:tplc="6BFC1AAA">
      <w:start w:val="1"/>
      <w:numFmt w:val="lowerRoman"/>
      <w:lvlText w:val="%6."/>
      <w:lvlJc w:val="right"/>
      <w:pPr>
        <w:ind w:left="4320" w:hanging="180"/>
      </w:pPr>
    </w:lvl>
    <w:lvl w:ilvl="6" w:tplc="457271C2">
      <w:start w:val="1"/>
      <w:numFmt w:val="decimal"/>
      <w:lvlText w:val="%7."/>
      <w:lvlJc w:val="left"/>
      <w:pPr>
        <w:ind w:left="5040" w:hanging="360"/>
      </w:pPr>
    </w:lvl>
    <w:lvl w:ilvl="7" w:tplc="7A1E3B84">
      <w:start w:val="1"/>
      <w:numFmt w:val="lowerLetter"/>
      <w:lvlText w:val="%8."/>
      <w:lvlJc w:val="left"/>
      <w:pPr>
        <w:ind w:left="5760" w:hanging="360"/>
      </w:pPr>
    </w:lvl>
    <w:lvl w:ilvl="8" w:tplc="B608F6AC">
      <w:start w:val="1"/>
      <w:numFmt w:val="lowerRoman"/>
      <w:lvlText w:val="%9."/>
      <w:lvlJc w:val="right"/>
      <w:pPr>
        <w:ind w:left="6480" w:hanging="180"/>
      </w:pPr>
    </w:lvl>
  </w:abstractNum>
  <w:abstractNum w:abstractNumId="10">
    <w:nsid w:val="435C5ED2"/>
    <w:multiLevelType w:val="hybridMultilevel"/>
    <w:tmpl w:val="1A22F61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nsid w:val="4B541787"/>
    <w:multiLevelType w:val="hybridMultilevel"/>
    <w:tmpl w:val="361EAB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1D776B4"/>
    <w:multiLevelType w:val="hybridMultilevel"/>
    <w:tmpl w:val="A122485C"/>
    <w:lvl w:ilvl="0" w:tplc="45D44C72">
      <w:start w:val="1"/>
      <w:numFmt w:val="bullet"/>
      <w:lvlText w:val="-"/>
      <w:lvlJc w:val="left"/>
      <w:pPr>
        <w:ind w:left="720" w:hanging="360"/>
      </w:pPr>
      <w:rPr>
        <w:rFonts w:ascii="Calibri" w:eastAsiaTheme="minorHAnsi"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nsid w:val="57B6183D"/>
    <w:multiLevelType w:val="hybridMultilevel"/>
    <w:tmpl w:val="2048EC1C"/>
    <w:lvl w:ilvl="0" w:tplc="0809000F">
      <w:start w:val="1"/>
      <w:numFmt w:val="decimal"/>
      <w:lvlText w:val="%1."/>
      <w:lvlJc w:val="left"/>
      <w:pPr>
        <w:ind w:left="1068" w:hanging="360"/>
      </w:pPr>
      <w:rPr>
        <w:rFonts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4">
    <w:nsid w:val="5D5310BE"/>
    <w:multiLevelType w:val="hybridMultilevel"/>
    <w:tmpl w:val="F2A084C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nsid w:val="662B4EEC"/>
    <w:multiLevelType w:val="hybridMultilevel"/>
    <w:tmpl w:val="336E76B2"/>
    <w:lvl w:ilvl="0" w:tplc="0826F4F6">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nsid w:val="66580365"/>
    <w:multiLevelType w:val="hybridMultilevel"/>
    <w:tmpl w:val="BCAA5FF6"/>
    <w:lvl w:ilvl="0" w:tplc="495EFC76">
      <w:numFmt w:val="bullet"/>
      <w:lvlText w:val="-"/>
      <w:lvlJc w:val="left"/>
      <w:pPr>
        <w:ind w:left="720" w:hanging="360"/>
      </w:pPr>
      <w:rPr>
        <w:rFonts w:ascii="Calibri" w:eastAsiaTheme="minorHAnsi"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nsid w:val="75E76866"/>
    <w:multiLevelType w:val="multilevel"/>
    <w:tmpl w:val="6024A3E0"/>
    <w:lvl w:ilvl="0">
      <w:start w:val="1"/>
      <w:numFmt w:val="decimal"/>
      <w:pStyle w:val="Subtitle1"/>
      <w:lvlText w:val="%1"/>
      <w:lvlJc w:val="left"/>
      <w:pPr>
        <w:ind w:left="574" w:hanging="432"/>
      </w:pPr>
      <w:rPr>
        <w:rFonts w:hint="default"/>
        <w:sz w:val="22"/>
        <w:szCs w:val="22"/>
      </w:rPr>
    </w:lvl>
    <w:lvl w:ilvl="1">
      <w:start w:val="1"/>
      <w:numFmt w:val="decimal"/>
      <w:lvlText w:val="%1.%2"/>
      <w:lvlJc w:val="left"/>
      <w:pPr>
        <w:ind w:left="576" w:hanging="576"/>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7A420AED"/>
    <w:multiLevelType w:val="hybridMultilevel"/>
    <w:tmpl w:val="BF4EA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5"/>
  </w:num>
  <w:num w:numId="4">
    <w:abstractNumId w:val="17"/>
  </w:num>
  <w:num w:numId="5">
    <w:abstractNumId w:val="17"/>
  </w:num>
  <w:num w:numId="6">
    <w:abstractNumId w:val="0"/>
  </w:num>
  <w:num w:numId="7">
    <w:abstractNumId w:val="15"/>
  </w:num>
  <w:num w:numId="8">
    <w:abstractNumId w:val="4"/>
  </w:num>
  <w:num w:numId="9">
    <w:abstractNumId w:val="6"/>
  </w:num>
  <w:num w:numId="10">
    <w:abstractNumId w:val="14"/>
  </w:num>
  <w:num w:numId="11">
    <w:abstractNumId w:val="1"/>
  </w:num>
  <w:num w:numId="12">
    <w:abstractNumId w:val="16"/>
  </w:num>
  <w:num w:numId="13">
    <w:abstractNumId w:val="2"/>
  </w:num>
  <w:num w:numId="14">
    <w:abstractNumId w:val="3"/>
  </w:num>
  <w:num w:numId="15">
    <w:abstractNumId w:val="9"/>
  </w:num>
  <w:num w:numId="16">
    <w:abstractNumId w:val="7"/>
  </w:num>
  <w:num w:numId="17">
    <w:abstractNumId w:val="10"/>
  </w:num>
  <w:num w:numId="18">
    <w:abstractNumId w:val="18"/>
  </w:num>
  <w:num w:numId="19">
    <w:abstractNumId w:val="11"/>
  </w:num>
  <w:num w:numId="20">
    <w:abstractNumId w:val="8"/>
  </w:num>
  <w:num w:numId="21">
    <w:abstractNumId w:val="13"/>
  </w:num>
  <w:num w:numId="22">
    <w:abstractNumId w:val="1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A2B"/>
    <w:rsid w:val="000061CE"/>
    <w:rsid w:val="00031BBD"/>
    <w:rsid w:val="00036D1D"/>
    <w:rsid w:val="00037CF7"/>
    <w:rsid w:val="000429FD"/>
    <w:rsid w:val="0005659C"/>
    <w:rsid w:val="00057DEF"/>
    <w:rsid w:val="000617FF"/>
    <w:rsid w:val="00066DE1"/>
    <w:rsid w:val="00071BF2"/>
    <w:rsid w:val="000764A9"/>
    <w:rsid w:val="0007695E"/>
    <w:rsid w:val="00090CDB"/>
    <w:rsid w:val="000C2DD7"/>
    <w:rsid w:val="000C2F35"/>
    <w:rsid w:val="000D1A79"/>
    <w:rsid w:val="000D33C0"/>
    <w:rsid w:val="000E2190"/>
    <w:rsid w:val="000F03AA"/>
    <w:rsid w:val="00104C70"/>
    <w:rsid w:val="001123B5"/>
    <w:rsid w:val="0012124A"/>
    <w:rsid w:val="001C4BA4"/>
    <w:rsid w:val="001D0209"/>
    <w:rsid w:val="001D1600"/>
    <w:rsid w:val="001D6D40"/>
    <w:rsid w:val="001E2B8E"/>
    <w:rsid w:val="001E6AC4"/>
    <w:rsid w:val="001E6E91"/>
    <w:rsid w:val="002035FE"/>
    <w:rsid w:val="00203871"/>
    <w:rsid w:val="00207A99"/>
    <w:rsid w:val="00216D4A"/>
    <w:rsid w:val="00224C7A"/>
    <w:rsid w:val="00226764"/>
    <w:rsid w:val="00283E0F"/>
    <w:rsid w:val="003349FD"/>
    <w:rsid w:val="00336649"/>
    <w:rsid w:val="003704C9"/>
    <w:rsid w:val="00381E12"/>
    <w:rsid w:val="00390CB2"/>
    <w:rsid w:val="003C45D6"/>
    <w:rsid w:val="003F31AD"/>
    <w:rsid w:val="003F4F1F"/>
    <w:rsid w:val="0040302B"/>
    <w:rsid w:val="0041148C"/>
    <w:rsid w:val="004154B8"/>
    <w:rsid w:val="0042528D"/>
    <w:rsid w:val="00431EBD"/>
    <w:rsid w:val="0043352E"/>
    <w:rsid w:val="00452505"/>
    <w:rsid w:val="00457DC7"/>
    <w:rsid w:val="004921A9"/>
    <w:rsid w:val="004D6020"/>
    <w:rsid w:val="004E6E7B"/>
    <w:rsid w:val="005062BA"/>
    <w:rsid w:val="00511C9E"/>
    <w:rsid w:val="00517870"/>
    <w:rsid w:val="0055016C"/>
    <w:rsid w:val="005749C1"/>
    <w:rsid w:val="00576CB5"/>
    <w:rsid w:val="00576E09"/>
    <w:rsid w:val="005774F6"/>
    <w:rsid w:val="005A18E3"/>
    <w:rsid w:val="005A539A"/>
    <w:rsid w:val="005A6DFA"/>
    <w:rsid w:val="005B3E23"/>
    <w:rsid w:val="005B7385"/>
    <w:rsid w:val="005F7B50"/>
    <w:rsid w:val="00601627"/>
    <w:rsid w:val="006143A8"/>
    <w:rsid w:val="00617BD8"/>
    <w:rsid w:val="006642EC"/>
    <w:rsid w:val="006735B7"/>
    <w:rsid w:val="00675022"/>
    <w:rsid w:val="006755A1"/>
    <w:rsid w:val="00691A2B"/>
    <w:rsid w:val="006B058F"/>
    <w:rsid w:val="006C1677"/>
    <w:rsid w:val="006F015A"/>
    <w:rsid w:val="00700D29"/>
    <w:rsid w:val="007022A4"/>
    <w:rsid w:val="007047A5"/>
    <w:rsid w:val="00733E40"/>
    <w:rsid w:val="007647A6"/>
    <w:rsid w:val="00783F38"/>
    <w:rsid w:val="00792425"/>
    <w:rsid w:val="007D0EEE"/>
    <w:rsid w:val="007E2A62"/>
    <w:rsid w:val="00806557"/>
    <w:rsid w:val="00806849"/>
    <w:rsid w:val="00816A6E"/>
    <w:rsid w:val="00817E3F"/>
    <w:rsid w:val="00852693"/>
    <w:rsid w:val="008904EF"/>
    <w:rsid w:val="008B6CE8"/>
    <w:rsid w:val="008C6FDE"/>
    <w:rsid w:val="008C74F9"/>
    <w:rsid w:val="008D2F80"/>
    <w:rsid w:val="008E71AE"/>
    <w:rsid w:val="009005EE"/>
    <w:rsid w:val="009B6A1D"/>
    <w:rsid w:val="009C1115"/>
    <w:rsid w:val="009E2D68"/>
    <w:rsid w:val="009F1E13"/>
    <w:rsid w:val="00A04086"/>
    <w:rsid w:val="00A15D22"/>
    <w:rsid w:val="00A27313"/>
    <w:rsid w:val="00A56EBA"/>
    <w:rsid w:val="00A622A1"/>
    <w:rsid w:val="00A706E0"/>
    <w:rsid w:val="00A73CC2"/>
    <w:rsid w:val="00AB5329"/>
    <w:rsid w:val="00AC78C4"/>
    <w:rsid w:val="00B064AC"/>
    <w:rsid w:val="00B41085"/>
    <w:rsid w:val="00B86205"/>
    <w:rsid w:val="00BA1796"/>
    <w:rsid w:val="00BC0011"/>
    <w:rsid w:val="00BC6F6F"/>
    <w:rsid w:val="00C1603E"/>
    <w:rsid w:val="00C32195"/>
    <w:rsid w:val="00C35426"/>
    <w:rsid w:val="00C36ABF"/>
    <w:rsid w:val="00C42BF0"/>
    <w:rsid w:val="00C51FA8"/>
    <w:rsid w:val="00C63E8C"/>
    <w:rsid w:val="00C771ED"/>
    <w:rsid w:val="00C876A1"/>
    <w:rsid w:val="00C8775D"/>
    <w:rsid w:val="00CB552F"/>
    <w:rsid w:val="00CC73A9"/>
    <w:rsid w:val="00CD703D"/>
    <w:rsid w:val="00CE2368"/>
    <w:rsid w:val="00CF7168"/>
    <w:rsid w:val="00D21877"/>
    <w:rsid w:val="00D47A47"/>
    <w:rsid w:val="00D51FD2"/>
    <w:rsid w:val="00D537D1"/>
    <w:rsid w:val="00D737FC"/>
    <w:rsid w:val="00D95060"/>
    <w:rsid w:val="00D95306"/>
    <w:rsid w:val="00D96ED6"/>
    <w:rsid w:val="00DA407E"/>
    <w:rsid w:val="00DA7EB5"/>
    <w:rsid w:val="00DB2B6D"/>
    <w:rsid w:val="00DD73FC"/>
    <w:rsid w:val="00DE0FE2"/>
    <w:rsid w:val="00E03A0A"/>
    <w:rsid w:val="00E37997"/>
    <w:rsid w:val="00E42B75"/>
    <w:rsid w:val="00E50EC5"/>
    <w:rsid w:val="00E53DAC"/>
    <w:rsid w:val="00E749AE"/>
    <w:rsid w:val="00E74C6B"/>
    <w:rsid w:val="00EC18BB"/>
    <w:rsid w:val="00EC2F52"/>
    <w:rsid w:val="00EC661D"/>
    <w:rsid w:val="00EF484B"/>
    <w:rsid w:val="00F75232"/>
    <w:rsid w:val="00F82644"/>
    <w:rsid w:val="00F83976"/>
    <w:rsid w:val="00F85A80"/>
    <w:rsid w:val="00FC2323"/>
    <w:rsid w:val="00FD21F1"/>
    <w:rsid w:val="00FD30A6"/>
    <w:rsid w:val="00FE6A3B"/>
    <w:rsid w:val="00FF56F5"/>
    <w:rsid w:val="00FF70C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A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A2B"/>
    <w:pPr>
      <w:tabs>
        <w:tab w:val="center" w:pos="4536"/>
        <w:tab w:val="right" w:pos="9072"/>
      </w:tabs>
      <w:spacing w:after="0" w:line="240" w:lineRule="auto"/>
    </w:pPr>
  </w:style>
  <w:style w:type="character" w:customStyle="1" w:styleId="HeaderChar">
    <w:name w:val="Header Char"/>
    <w:basedOn w:val="DefaultParagraphFont"/>
    <w:link w:val="Header"/>
    <w:uiPriority w:val="99"/>
    <w:rsid w:val="00691A2B"/>
  </w:style>
  <w:style w:type="paragraph" w:styleId="Footer">
    <w:name w:val="footer"/>
    <w:basedOn w:val="Normal"/>
    <w:link w:val="FooterChar"/>
    <w:uiPriority w:val="99"/>
    <w:unhideWhenUsed/>
    <w:rsid w:val="00691A2B"/>
    <w:pPr>
      <w:tabs>
        <w:tab w:val="center" w:pos="4536"/>
        <w:tab w:val="right" w:pos="9072"/>
      </w:tabs>
      <w:spacing w:after="0" w:line="240" w:lineRule="auto"/>
    </w:pPr>
  </w:style>
  <w:style w:type="character" w:customStyle="1" w:styleId="FooterChar">
    <w:name w:val="Footer Char"/>
    <w:basedOn w:val="DefaultParagraphFont"/>
    <w:link w:val="Footer"/>
    <w:uiPriority w:val="99"/>
    <w:rsid w:val="00691A2B"/>
  </w:style>
  <w:style w:type="paragraph" w:styleId="ListParagraph">
    <w:name w:val="List Paragraph"/>
    <w:basedOn w:val="Normal"/>
    <w:link w:val="ListParagraphChar"/>
    <w:uiPriority w:val="34"/>
    <w:qFormat/>
    <w:rsid w:val="00691A2B"/>
    <w:pPr>
      <w:ind w:left="720"/>
      <w:contextualSpacing/>
    </w:pPr>
  </w:style>
  <w:style w:type="table" w:styleId="TableGrid">
    <w:name w:val="Table Grid"/>
    <w:basedOn w:val="TableNormal"/>
    <w:uiPriority w:val="59"/>
    <w:rsid w:val="00691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basedOn w:val="Normal"/>
    <w:rsid w:val="00691A2B"/>
    <w:pPr>
      <w:numPr>
        <w:numId w:val="2"/>
      </w:numPr>
    </w:pPr>
  </w:style>
  <w:style w:type="table" w:customStyle="1" w:styleId="Grilledutableau1">
    <w:name w:val="Grille du tableau1"/>
    <w:basedOn w:val="TableNormal"/>
    <w:next w:val="TableGrid"/>
    <w:uiPriority w:val="59"/>
    <w:rsid w:val="00691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1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A2B"/>
    <w:rPr>
      <w:rFonts w:ascii="Tahoma" w:hAnsi="Tahoma" w:cs="Tahoma"/>
      <w:sz w:val="16"/>
      <w:szCs w:val="16"/>
    </w:rPr>
  </w:style>
  <w:style w:type="paragraph" w:styleId="NoSpacing">
    <w:name w:val="No Spacing"/>
    <w:uiPriority w:val="1"/>
    <w:qFormat/>
    <w:rsid w:val="00691A2B"/>
    <w:pPr>
      <w:spacing w:after="0" w:line="240" w:lineRule="auto"/>
    </w:pPr>
  </w:style>
  <w:style w:type="character" w:styleId="CommentReference">
    <w:name w:val="annotation reference"/>
    <w:basedOn w:val="DefaultParagraphFont"/>
    <w:uiPriority w:val="99"/>
    <w:semiHidden/>
    <w:unhideWhenUsed/>
    <w:rsid w:val="00A622A1"/>
    <w:rPr>
      <w:sz w:val="16"/>
      <w:szCs w:val="16"/>
    </w:rPr>
  </w:style>
  <w:style w:type="paragraph" w:styleId="CommentText">
    <w:name w:val="annotation text"/>
    <w:basedOn w:val="Normal"/>
    <w:link w:val="CommentTextChar"/>
    <w:uiPriority w:val="99"/>
    <w:semiHidden/>
    <w:unhideWhenUsed/>
    <w:rsid w:val="00A622A1"/>
    <w:pPr>
      <w:spacing w:line="240" w:lineRule="auto"/>
    </w:pPr>
    <w:rPr>
      <w:sz w:val="20"/>
      <w:szCs w:val="20"/>
    </w:rPr>
  </w:style>
  <w:style w:type="character" w:customStyle="1" w:styleId="CommentTextChar">
    <w:name w:val="Comment Text Char"/>
    <w:basedOn w:val="DefaultParagraphFont"/>
    <w:link w:val="CommentText"/>
    <w:uiPriority w:val="99"/>
    <w:semiHidden/>
    <w:rsid w:val="00A622A1"/>
    <w:rPr>
      <w:sz w:val="20"/>
      <w:szCs w:val="20"/>
    </w:rPr>
  </w:style>
  <w:style w:type="paragraph" w:styleId="CommentSubject">
    <w:name w:val="annotation subject"/>
    <w:basedOn w:val="CommentText"/>
    <w:next w:val="CommentText"/>
    <w:link w:val="CommentSubjectChar"/>
    <w:uiPriority w:val="99"/>
    <w:semiHidden/>
    <w:unhideWhenUsed/>
    <w:rsid w:val="00A622A1"/>
    <w:rPr>
      <w:b/>
      <w:bCs/>
    </w:rPr>
  </w:style>
  <w:style w:type="character" w:customStyle="1" w:styleId="CommentSubjectChar">
    <w:name w:val="Comment Subject Char"/>
    <w:basedOn w:val="CommentTextChar"/>
    <w:link w:val="CommentSubject"/>
    <w:uiPriority w:val="99"/>
    <w:semiHidden/>
    <w:rsid w:val="00A622A1"/>
    <w:rPr>
      <w:b/>
      <w:bCs/>
      <w:sz w:val="20"/>
      <w:szCs w:val="20"/>
    </w:rPr>
  </w:style>
  <w:style w:type="paragraph" w:styleId="Revision">
    <w:name w:val="Revision"/>
    <w:hidden/>
    <w:uiPriority w:val="99"/>
    <w:semiHidden/>
    <w:rsid w:val="00090CDB"/>
    <w:pPr>
      <w:spacing w:after="0" w:line="240" w:lineRule="auto"/>
    </w:pPr>
  </w:style>
  <w:style w:type="character" w:customStyle="1" w:styleId="ListParagraphChar">
    <w:name w:val="List Paragraph Char"/>
    <w:link w:val="ListParagraph"/>
    <w:uiPriority w:val="34"/>
    <w:locked/>
    <w:rsid w:val="00E03A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A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A2B"/>
    <w:pPr>
      <w:tabs>
        <w:tab w:val="center" w:pos="4536"/>
        <w:tab w:val="right" w:pos="9072"/>
      </w:tabs>
      <w:spacing w:after="0" w:line="240" w:lineRule="auto"/>
    </w:pPr>
  </w:style>
  <w:style w:type="character" w:customStyle="1" w:styleId="HeaderChar">
    <w:name w:val="Header Char"/>
    <w:basedOn w:val="DefaultParagraphFont"/>
    <w:link w:val="Header"/>
    <w:uiPriority w:val="99"/>
    <w:rsid w:val="00691A2B"/>
  </w:style>
  <w:style w:type="paragraph" w:styleId="Footer">
    <w:name w:val="footer"/>
    <w:basedOn w:val="Normal"/>
    <w:link w:val="FooterChar"/>
    <w:uiPriority w:val="99"/>
    <w:unhideWhenUsed/>
    <w:rsid w:val="00691A2B"/>
    <w:pPr>
      <w:tabs>
        <w:tab w:val="center" w:pos="4536"/>
        <w:tab w:val="right" w:pos="9072"/>
      </w:tabs>
      <w:spacing w:after="0" w:line="240" w:lineRule="auto"/>
    </w:pPr>
  </w:style>
  <w:style w:type="character" w:customStyle="1" w:styleId="FooterChar">
    <w:name w:val="Footer Char"/>
    <w:basedOn w:val="DefaultParagraphFont"/>
    <w:link w:val="Footer"/>
    <w:uiPriority w:val="99"/>
    <w:rsid w:val="00691A2B"/>
  </w:style>
  <w:style w:type="paragraph" w:styleId="ListParagraph">
    <w:name w:val="List Paragraph"/>
    <w:basedOn w:val="Normal"/>
    <w:link w:val="ListParagraphChar"/>
    <w:uiPriority w:val="34"/>
    <w:qFormat/>
    <w:rsid w:val="00691A2B"/>
    <w:pPr>
      <w:ind w:left="720"/>
      <w:contextualSpacing/>
    </w:pPr>
  </w:style>
  <w:style w:type="table" w:styleId="TableGrid">
    <w:name w:val="Table Grid"/>
    <w:basedOn w:val="TableNormal"/>
    <w:uiPriority w:val="59"/>
    <w:rsid w:val="00691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basedOn w:val="Normal"/>
    <w:rsid w:val="00691A2B"/>
    <w:pPr>
      <w:numPr>
        <w:numId w:val="2"/>
      </w:numPr>
    </w:pPr>
  </w:style>
  <w:style w:type="table" w:customStyle="1" w:styleId="Grilledutableau1">
    <w:name w:val="Grille du tableau1"/>
    <w:basedOn w:val="TableNormal"/>
    <w:next w:val="TableGrid"/>
    <w:uiPriority w:val="59"/>
    <w:rsid w:val="00691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1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A2B"/>
    <w:rPr>
      <w:rFonts w:ascii="Tahoma" w:hAnsi="Tahoma" w:cs="Tahoma"/>
      <w:sz w:val="16"/>
      <w:szCs w:val="16"/>
    </w:rPr>
  </w:style>
  <w:style w:type="paragraph" w:styleId="NoSpacing">
    <w:name w:val="No Spacing"/>
    <w:uiPriority w:val="1"/>
    <w:qFormat/>
    <w:rsid w:val="00691A2B"/>
    <w:pPr>
      <w:spacing w:after="0" w:line="240" w:lineRule="auto"/>
    </w:pPr>
  </w:style>
  <w:style w:type="character" w:styleId="CommentReference">
    <w:name w:val="annotation reference"/>
    <w:basedOn w:val="DefaultParagraphFont"/>
    <w:uiPriority w:val="99"/>
    <w:semiHidden/>
    <w:unhideWhenUsed/>
    <w:rsid w:val="00A622A1"/>
    <w:rPr>
      <w:sz w:val="16"/>
      <w:szCs w:val="16"/>
    </w:rPr>
  </w:style>
  <w:style w:type="paragraph" w:styleId="CommentText">
    <w:name w:val="annotation text"/>
    <w:basedOn w:val="Normal"/>
    <w:link w:val="CommentTextChar"/>
    <w:uiPriority w:val="99"/>
    <w:semiHidden/>
    <w:unhideWhenUsed/>
    <w:rsid w:val="00A622A1"/>
    <w:pPr>
      <w:spacing w:line="240" w:lineRule="auto"/>
    </w:pPr>
    <w:rPr>
      <w:sz w:val="20"/>
      <w:szCs w:val="20"/>
    </w:rPr>
  </w:style>
  <w:style w:type="character" w:customStyle="1" w:styleId="CommentTextChar">
    <w:name w:val="Comment Text Char"/>
    <w:basedOn w:val="DefaultParagraphFont"/>
    <w:link w:val="CommentText"/>
    <w:uiPriority w:val="99"/>
    <w:semiHidden/>
    <w:rsid w:val="00A622A1"/>
    <w:rPr>
      <w:sz w:val="20"/>
      <w:szCs w:val="20"/>
    </w:rPr>
  </w:style>
  <w:style w:type="paragraph" w:styleId="CommentSubject">
    <w:name w:val="annotation subject"/>
    <w:basedOn w:val="CommentText"/>
    <w:next w:val="CommentText"/>
    <w:link w:val="CommentSubjectChar"/>
    <w:uiPriority w:val="99"/>
    <w:semiHidden/>
    <w:unhideWhenUsed/>
    <w:rsid w:val="00A622A1"/>
    <w:rPr>
      <w:b/>
      <w:bCs/>
    </w:rPr>
  </w:style>
  <w:style w:type="character" w:customStyle="1" w:styleId="CommentSubjectChar">
    <w:name w:val="Comment Subject Char"/>
    <w:basedOn w:val="CommentTextChar"/>
    <w:link w:val="CommentSubject"/>
    <w:uiPriority w:val="99"/>
    <w:semiHidden/>
    <w:rsid w:val="00A622A1"/>
    <w:rPr>
      <w:b/>
      <w:bCs/>
      <w:sz w:val="20"/>
      <w:szCs w:val="20"/>
    </w:rPr>
  </w:style>
  <w:style w:type="paragraph" w:styleId="Revision">
    <w:name w:val="Revision"/>
    <w:hidden/>
    <w:uiPriority w:val="99"/>
    <w:semiHidden/>
    <w:rsid w:val="00090CDB"/>
    <w:pPr>
      <w:spacing w:after="0" w:line="240" w:lineRule="auto"/>
    </w:pPr>
  </w:style>
  <w:style w:type="character" w:customStyle="1" w:styleId="ListParagraphChar">
    <w:name w:val="List Paragraph Char"/>
    <w:link w:val="ListParagraph"/>
    <w:uiPriority w:val="34"/>
    <w:locked/>
    <w:rsid w:val="00E03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40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852A5-EB69-4C89-84C9-82BBD3F89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842</Words>
  <Characters>4635</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TDH</Company>
  <LinksUpToDate>false</LinksUpToDate>
  <CharactersWithSpaces>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Mareschal</dc:creator>
  <cp:lastModifiedBy>Laure Baudin</cp:lastModifiedBy>
  <cp:revision>9</cp:revision>
  <dcterms:created xsi:type="dcterms:W3CDTF">2017-09-20T04:06:00Z</dcterms:created>
  <dcterms:modified xsi:type="dcterms:W3CDTF">2017-09-20T21:54:00Z</dcterms:modified>
</cp:coreProperties>
</file>