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0E" w:rsidRPr="009926E5" w:rsidRDefault="0085300E" w:rsidP="00AE53D2">
      <w:pPr>
        <w:spacing w:after="120" w:line="240" w:lineRule="auto"/>
        <w:contextualSpacing/>
        <w:jc w:val="both"/>
      </w:pPr>
    </w:p>
    <w:p w:rsidR="00AB40C0" w:rsidRPr="001B12B9" w:rsidRDefault="00AB40C0" w:rsidP="00AB40C0">
      <w:pPr>
        <w:jc w:val="center"/>
        <w:rPr>
          <w:rFonts w:ascii="Calibri" w:eastAsia="Calibri" w:hAnsi="Calibri" w:cs="Times New Roman"/>
          <w:b/>
          <w:color w:val="17365D" w:themeColor="text2" w:themeShade="BF"/>
          <w:sz w:val="24"/>
          <w:szCs w:val="24"/>
        </w:rPr>
      </w:pPr>
      <w:r w:rsidRPr="001B12B9">
        <w:rPr>
          <w:rFonts w:ascii="Calibri" w:eastAsia="Calibri" w:hAnsi="Calibri" w:cs="Times New Roman"/>
          <w:b/>
          <w:color w:val="17365D" w:themeColor="text2" w:themeShade="BF"/>
          <w:sz w:val="24"/>
          <w:szCs w:val="24"/>
        </w:rPr>
        <w:t xml:space="preserve">Contribution Programme </w:t>
      </w:r>
      <w:proofErr w:type="spellStart"/>
      <w:r w:rsidRPr="001B12B9">
        <w:rPr>
          <w:rFonts w:ascii="Calibri" w:eastAsia="Calibri" w:hAnsi="Calibri" w:cs="Times New Roman"/>
          <w:b/>
          <w:color w:val="17365D" w:themeColor="text2" w:themeShade="BF"/>
          <w:sz w:val="24"/>
          <w:szCs w:val="24"/>
        </w:rPr>
        <w:t>Tdh</w:t>
      </w:r>
      <w:proofErr w:type="spellEnd"/>
      <w:r w:rsidRPr="001B12B9">
        <w:rPr>
          <w:rFonts w:ascii="Calibri" w:eastAsia="Calibri" w:hAnsi="Calibri" w:cs="Times New Roman"/>
          <w:b/>
          <w:color w:val="17365D" w:themeColor="text2" w:themeShade="BF"/>
          <w:sz w:val="24"/>
          <w:szCs w:val="24"/>
        </w:rPr>
        <w:t xml:space="preserve"> 2017-2020 </w:t>
      </w:r>
      <w:r>
        <w:rPr>
          <w:rFonts w:ascii="Calibri" w:eastAsia="Calibri" w:hAnsi="Calibri" w:cs="Times New Roman"/>
          <w:b/>
          <w:color w:val="17365D" w:themeColor="text2" w:themeShade="BF"/>
          <w:sz w:val="24"/>
          <w:szCs w:val="24"/>
        </w:rPr>
        <w:t xml:space="preserve">/ </w:t>
      </w:r>
      <w:r w:rsidRPr="001B12B9">
        <w:rPr>
          <w:rFonts w:ascii="Calibri" w:eastAsia="Calibri" w:hAnsi="Calibri" w:cs="Times New Roman"/>
          <w:b/>
          <w:color w:val="17365D" w:themeColor="text2" w:themeShade="BF"/>
          <w:sz w:val="24"/>
          <w:szCs w:val="24"/>
        </w:rPr>
        <w:t>Plan straté</w:t>
      </w:r>
      <w:r>
        <w:rPr>
          <w:rFonts w:ascii="Calibri" w:eastAsia="Calibri" w:hAnsi="Calibri" w:cs="Times New Roman"/>
          <w:b/>
          <w:color w:val="17365D" w:themeColor="text2" w:themeShade="BF"/>
          <w:sz w:val="24"/>
          <w:szCs w:val="24"/>
        </w:rPr>
        <w:t>gique 2016-</w:t>
      </w:r>
      <w:r w:rsidRPr="001B12B9">
        <w:rPr>
          <w:rFonts w:ascii="Calibri" w:eastAsia="Calibri" w:hAnsi="Calibri" w:cs="Times New Roman"/>
          <w:b/>
          <w:color w:val="17365D" w:themeColor="text2" w:themeShade="BF"/>
          <w:sz w:val="24"/>
          <w:szCs w:val="24"/>
        </w:rPr>
        <w:t>2020</w:t>
      </w:r>
    </w:p>
    <w:p w:rsidR="00162F97" w:rsidRPr="00F57649" w:rsidRDefault="00AB40C0" w:rsidP="00AB40C0">
      <w:pPr>
        <w:jc w:val="center"/>
        <w:rPr>
          <w:rFonts w:ascii="Calibri" w:eastAsia="Calibri" w:hAnsi="Calibri" w:cs="Times New Roman"/>
          <w:b/>
          <w:color w:val="17365D" w:themeColor="text2" w:themeShade="BF"/>
          <w:sz w:val="32"/>
          <w:szCs w:val="32"/>
        </w:rPr>
      </w:pPr>
      <w:r w:rsidRPr="001B12B9">
        <w:rPr>
          <w:rFonts w:ascii="Calibri" w:eastAsia="Calibri" w:hAnsi="Calibri" w:cs="Times New Roman"/>
          <w:b/>
          <w:color w:val="17365D" w:themeColor="text2" w:themeShade="BF"/>
          <w:sz w:val="24"/>
          <w:szCs w:val="24"/>
        </w:rPr>
        <w:t>Indicateurs programmatiques</w:t>
      </w:r>
    </w:p>
    <w:p w:rsidR="00F10CF9" w:rsidRPr="00345213" w:rsidRDefault="00F10CF9" w:rsidP="00F10CF9">
      <w:pPr>
        <w:rPr>
          <w:b/>
          <w:lang w:val="fr-CH"/>
        </w:rPr>
      </w:pPr>
      <w:r w:rsidRPr="00345213">
        <w:rPr>
          <w:b/>
        </w:rPr>
        <w:t xml:space="preserve">[Programme]  </w:t>
      </w:r>
      <w:r w:rsidRPr="00345213">
        <w:rPr>
          <w:bCs/>
          <w:lang w:val="fr-CH"/>
        </w:rPr>
        <w:t>Justice Juvénile</w:t>
      </w:r>
    </w:p>
    <w:p w:rsidR="00F10CF9" w:rsidRPr="00345213" w:rsidRDefault="00F10CF9" w:rsidP="00F10CF9">
      <w:pPr>
        <w:jc w:val="both"/>
        <w:rPr>
          <w:rFonts w:ascii="Calibri" w:hAnsi="Calibri" w:cs="Arial"/>
          <w:lang w:val="fr-CH"/>
        </w:rPr>
      </w:pPr>
      <w:r w:rsidRPr="00345213">
        <w:rPr>
          <w:b/>
        </w:rPr>
        <w:t xml:space="preserve">[Résultat] </w:t>
      </w:r>
      <w:r w:rsidR="00864C34">
        <w:rPr>
          <w:b/>
        </w:rPr>
        <w:t>RA 1.</w:t>
      </w:r>
      <w:r w:rsidRPr="00345213">
        <w:rPr>
          <w:b/>
        </w:rPr>
        <w:t xml:space="preserve"> </w:t>
      </w:r>
      <w:r w:rsidRPr="00345213">
        <w:rPr>
          <w:rFonts w:ascii="Calibri" w:hAnsi="Calibri" w:cs="Arial"/>
          <w:lang w:val="fr-CH"/>
        </w:rPr>
        <w:t>Le programme JJ, met en place des projets qui répondent aux besoins spécifiques de 20 pays ou unités de pays des régions d’impact Amérique Latine</w:t>
      </w:r>
      <w:r w:rsidRPr="00345213">
        <w:rPr>
          <w:rFonts w:ascii="Calibri" w:hAnsi="Calibri" w:cs="Arial"/>
          <w:vertAlign w:val="superscript"/>
          <w:lang w:val="fr-CH"/>
        </w:rPr>
        <w:footnoteReference w:id="1"/>
      </w:r>
      <w:r w:rsidRPr="00345213">
        <w:rPr>
          <w:rFonts w:ascii="Calibri" w:hAnsi="Calibri" w:cs="Arial"/>
          <w:lang w:val="fr-CH"/>
        </w:rPr>
        <w:t>, Afrique</w:t>
      </w:r>
      <w:r w:rsidRPr="00345213">
        <w:rPr>
          <w:rFonts w:ascii="Calibri" w:hAnsi="Calibri" w:cs="Arial"/>
          <w:vertAlign w:val="superscript"/>
          <w:lang w:val="fr-CH"/>
        </w:rPr>
        <w:footnoteReference w:id="2"/>
      </w:r>
      <w:r w:rsidRPr="00345213">
        <w:rPr>
          <w:rFonts w:ascii="Calibri" w:hAnsi="Calibri" w:cs="Arial"/>
          <w:lang w:val="fr-CH"/>
        </w:rPr>
        <w:t xml:space="preserve"> et Moyen-Orient Afrique du Nord</w:t>
      </w:r>
      <w:r w:rsidRPr="00345213">
        <w:rPr>
          <w:rFonts w:ascii="Calibri" w:hAnsi="Calibri" w:cs="Arial"/>
          <w:vertAlign w:val="superscript"/>
          <w:lang w:val="fr-CH"/>
        </w:rPr>
        <w:footnoteReference w:id="3"/>
      </w:r>
      <w:r w:rsidRPr="00345213">
        <w:rPr>
          <w:rFonts w:ascii="Calibri" w:hAnsi="Calibri" w:cs="Arial"/>
          <w:lang w:val="fr-CH"/>
        </w:rPr>
        <w:t xml:space="preserve"> et en Asie des projets en lien avec les objectifs de résultat suivants </w:t>
      </w:r>
    </w:p>
    <w:p w:rsidR="0060323B" w:rsidRDefault="00F10CF9" w:rsidP="00F10CF9">
      <w:pPr>
        <w:rPr>
          <w:rFonts w:ascii="Arial" w:hAnsi="Arial" w:cs="Arial"/>
          <w:sz w:val="12"/>
          <w:szCs w:val="12"/>
          <w:lang w:val="fr-CH"/>
        </w:rPr>
      </w:pPr>
      <w:r w:rsidRPr="00345213">
        <w:rPr>
          <w:rFonts w:ascii="Calibri" w:hAnsi="Calibri" w:cs="Arial"/>
          <w:lang w:val="fr-CH"/>
        </w:rPr>
        <w:t>Réduire nombre d’enfants en détention grâce à l’augmentation du taux de mesures non-privative de libertés et amélioration de la prise en charge spécialisée en privation de liberté.</w:t>
      </w:r>
      <w:r w:rsidRPr="00345213">
        <w:rPr>
          <w:rFonts w:ascii="Arial" w:hAnsi="Arial" w:cs="Arial"/>
          <w:sz w:val="12"/>
          <w:szCs w:val="12"/>
          <w:lang w:val="fr-CH"/>
        </w:rPr>
        <w:t>.</w:t>
      </w:r>
    </w:p>
    <w:p w:rsidR="00A72FCF" w:rsidRPr="009926E5" w:rsidRDefault="00A72FCF" w:rsidP="00AE53D2">
      <w:pPr>
        <w:spacing w:after="120" w:line="240" w:lineRule="auto"/>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877"/>
      </w:tblGrid>
      <w:tr w:rsidR="00A72FCF"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72FCF" w:rsidRPr="009926E5" w:rsidRDefault="00A72FCF" w:rsidP="00A72FCF">
            <w:pPr>
              <w:spacing w:after="120" w:line="240" w:lineRule="auto"/>
              <w:contextualSpacing/>
              <w:jc w:val="both"/>
              <w:rPr>
                <w:b/>
                <w:bCs/>
                <w:lang w:val="en-US"/>
              </w:rPr>
            </w:pPr>
            <w:proofErr w:type="spellStart"/>
            <w:r w:rsidRPr="009926E5">
              <w:rPr>
                <w:b/>
                <w:bCs/>
                <w:lang w:val="en-US"/>
              </w:rPr>
              <w:t>Indicateur</w:t>
            </w:r>
            <w:proofErr w:type="spellEnd"/>
            <w:r w:rsidRPr="009926E5">
              <w:rPr>
                <w:b/>
                <w:bCs/>
                <w:lang w:val="en-US"/>
              </w:rPr>
              <w:t xml:space="preserve"> (</w:t>
            </w:r>
            <w:proofErr w:type="spellStart"/>
            <w:r w:rsidRPr="009926E5">
              <w:rPr>
                <w:b/>
                <w:bCs/>
                <w:lang w:val="en-US"/>
              </w:rPr>
              <w:t>Titre</w:t>
            </w:r>
            <w:proofErr w:type="spellEnd"/>
            <w:r w:rsidRPr="009926E5">
              <w:rPr>
                <w:b/>
                <w:bCs/>
                <w:lang w:val="en-US"/>
              </w:rPr>
              <w:t>)</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B40C0" w:rsidRPr="00AB40C0" w:rsidRDefault="00AB40C0" w:rsidP="00AB40C0">
            <w:pPr>
              <w:spacing w:after="120" w:line="240" w:lineRule="auto"/>
              <w:jc w:val="both"/>
              <w:rPr>
                <w:sz w:val="20"/>
                <w:szCs w:val="20"/>
              </w:rPr>
            </w:pPr>
            <w:r w:rsidRPr="00AB40C0">
              <w:rPr>
                <w:b/>
                <w:sz w:val="20"/>
                <w:szCs w:val="20"/>
                <w:lang w:val="fr-CH"/>
              </w:rPr>
              <w:t xml:space="preserve">1.1 </w:t>
            </w:r>
            <w:r w:rsidR="00A72FCF" w:rsidRPr="00AB40C0">
              <w:rPr>
                <w:b/>
                <w:sz w:val="20"/>
                <w:szCs w:val="20"/>
                <w:lang w:val="fr-CH"/>
              </w:rPr>
              <w:t>Nombre d’enfants</w:t>
            </w:r>
            <w:r w:rsidR="00162F97" w:rsidRPr="00AB40C0">
              <w:rPr>
                <w:b/>
                <w:sz w:val="20"/>
                <w:szCs w:val="20"/>
                <w:lang w:val="fr-CH"/>
              </w:rPr>
              <w:t xml:space="preserve"> </w:t>
            </w:r>
            <w:r w:rsidR="00162F97" w:rsidRPr="00AB40C0">
              <w:rPr>
                <w:b/>
                <w:color w:val="1F497D" w:themeColor="text2"/>
                <w:sz w:val="20"/>
                <w:szCs w:val="20"/>
                <w:lang w:val="fr-CH"/>
              </w:rPr>
              <w:t>[en conflit avec la loi]</w:t>
            </w:r>
            <w:r w:rsidR="00A72FCF" w:rsidRPr="00AB40C0">
              <w:rPr>
                <w:b/>
                <w:color w:val="1F497D" w:themeColor="text2"/>
                <w:sz w:val="20"/>
                <w:szCs w:val="20"/>
                <w:lang w:val="fr-CH"/>
              </w:rPr>
              <w:t xml:space="preserve"> </w:t>
            </w:r>
            <w:r w:rsidR="00A72FCF" w:rsidRPr="00AB40C0">
              <w:rPr>
                <w:b/>
                <w:sz w:val="20"/>
                <w:szCs w:val="20"/>
                <w:lang w:val="fr-CH"/>
              </w:rPr>
              <w:t xml:space="preserve">bénéficiant </w:t>
            </w:r>
            <w:r w:rsidR="009373F9" w:rsidRPr="00AB40C0">
              <w:rPr>
                <w:b/>
                <w:sz w:val="20"/>
                <w:szCs w:val="20"/>
                <w:lang w:val="fr-CH"/>
              </w:rPr>
              <w:t>de mesures de substitution à la détention provisoire</w:t>
            </w:r>
            <w:r w:rsidR="00162F97" w:rsidRPr="00AB40C0">
              <w:rPr>
                <w:b/>
                <w:sz w:val="20"/>
                <w:szCs w:val="20"/>
                <w:lang w:val="fr-CH"/>
              </w:rPr>
              <w:t xml:space="preserve"> </w:t>
            </w:r>
            <w:r w:rsidR="00162F97" w:rsidRPr="00AB40C0">
              <w:rPr>
                <w:b/>
                <w:color w:val="1F497D" w:themeColor="text2"/>
                <w:sz w:val="20"/>
                <w:szCs w:val="20"/>
                <w:lang w:val="fr-CH"/>
              </w:rPr>
              <w:t>[dans les zones d’intervention de Tdh</w:t>
            </w:r>
            <w:r w:rsidR="00C97A9E" w:rsidRPr="00AB40C0">
              <w:rPr>
                <w:b/>
                <w:color w:val="1F497D" w:themeColor="text2"/>
                <w:sz w:val="20"/>
                <w:szCs w:val="20"/>
                <w:lang w:val="fr-CH"/>
              </w:rPr>
              <w:t>.</w:t>
            </w:r>
            <w:r w:rsidR="00162F97" w:rsidRPr="00AB40C0">
              <w:rPr>
                <w:b/>
                <w:color w:val="1F497D" w:themeColor="text2"/>
                <w:sz w:val="20"/>
                <w:szCs w:val="20"/>
                <w:lang w:val="fr-CH"/>
              </w:rPr>
              <w:t>]</w:t>
            </w:r>
          </w:p>
          <w:p w:rsidR="00AB40C0" w:rsidRPr="00AB40C0" w:rsidRDefault="00AB40C0" w:rsidP="00AB40C0">
            <w:pPr>
              <w:spacing w:after="120" w:line="240" w:lineRule="auto"/>
              <w:jc w:val="both"/>
              <w:rPr>
                <w:i/>
              </w:rPr>
            </w:pPr>
            <w:r w:rsidRPr="00AB40C0">
              <w:rPr>
                <w:sz w:val="20"/>
                <w:szCs w:val="20"/>
              </w:rPr>
              <w:t>« Alternative à la détention provisoire »</w:t>
            </w:r>
          </w:p>
        </w:tc>
      </w:tr>
      <w:tr w:rsidR="00A72FCF"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72FCF" w:rsidRPr="009926E5" w:rsidRDefault="00A72FCF" w:rsidP="00A72FCF">
            <w:pPr>
              <w:spacing w:after="120" w:line="240" w:lineRule="auto"/>
              <w:contextualSpacing/>
              <w:jc w:val="both"/>
              <w:rPr>
                <w:b/>
                <w:bCs/>
              </w:rPr>
            </w:pPr>
            <w:r w:rsidRPr="009926E5">
              <w:rPr>
                <w:b/>
                <w:bCs/>
              </w:rPr>
              <w:t>Définition</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876" w:rsidRPr="00162F97" w:rsidRDefault="00A72FCF" w:rsidP="004A6876">
            <w:pPr>
              <w:spacing w:after="120" w:line="240" w:lineRule="auto"/>
              <w:contextualSpacing/>
              <w:jc w:val="both"/>
              <w:rPr>
                <w:sz w:val="20"/>
                <w:szCs w:val="20"/>
              </w:rPr>
            </w:pPr>
            <w:r w:rsidRPr="00162F97">
              <w:rPr>
                <w:sz w:val="20"/>
                <w:szCs w:val="20"/>
              </w:rPr>
              <w:t>Nombre d’enfants en conflit avec la loi pénale du pays d’intervention qui bénéficie</w:t>
            </w:r>
            <w:r w:rsidR="003448BE" w:rsidRPr="00162F97">
              <w:rPr>
                <w:sz w:val="20"/>
                <w:szCs w:val="20"/>
              </w:rPr>
              <w:t>nt</w:t>
            </w:r>
            <w:r w:rsidRPr="00162F97">
              <w:rPr>
                <w:sz w:val="20"/>
                <w:szCs w:val="20"/>
              </w:rPr>
              <w:t xml:space="preserve"> d’une </w:t>
            </w:r>
            <w:r w:rsidR="004A6876" w:rsidRPr="00162F97">
              <w:rPr>
                <w:sz w:val="20"/>
                <w:szCs w:val="20"/>
              </w:rPr>
              <w:t xml:space="preserve">mesure alternative à la détention provisoire / préventive. </w:t>
            </w:r>
            <w:r w:rsidR="00B239E1" w:rsidRPr="00162F97">
              <w:rPr>
                <w:sz w:val="20"/>
                <w:szCs w:val="20"/>
              </w:rPr>
              <w:t xml:space="preserve">Le mécanisme est utilisé après que des poursuites </w:t>
            </w:r>
            <w:r w:rsidR="008D5890" w:rsidRPr="00162F97">
              <w:rPr>
                <w:sz w:val="20"/>
                <w:szCs w:val="20"/>
              </w:rPr>
              <w:t xml:space="preserve">(mise en accusation) </w:t>
            </w:r>
            <w:r w:rsidR="00B239E1" w:rsidRPr="00162F97">
              <w:rPr>
                <w:sz w:val="20"/>
                <w:szCs w:val="20"/>
              </w:rPr>
              <w:t>soient officiellement engagées à l’encontre de l’</w:t>
            </w:r>
            <w:r w:rsidR="000870F9" w:rsidRPr="00162F97">
              <w:rPr>
                <w:sz w:val="20"/>
                <w:szCs w:val="20"/>
              </w:rPr>
              <w:t>enfant infracteur, et en attente d’une décision définitive par la juridiction concernée.</w:t>
            </w:r>
            <w:r w:rsidR="003448BE" w:rsidRPr="00162F97">
              <w:rPr>
                <w:sz w:val="20"/>
                <w:szCs w:val="20"/>
              </w:rPr>
              <w:t xml:space="preserve"> Elle intervient après la garde à vue (même si parfois les deux ont lieu dans les mêmes locaux).</w:t>
            </w:r>
            <w:r w:rsidR="002255B5" w:rsidRPr="00162F97">
              <w:rPr>
                <w:sz w:val="20"/>
                <w:szCs w:val="20"/>
              </w:rPr>
              <w:t xml:space="preserve"> Les mécanismes </w:t>
            </w:r>
            <w:r w:rsidR="008D5C35" w:rsidRPr="00162F97">
              <w:rPr>
                <w:sz w:val="20"/>
                <w:szCs w:val="20"/>
              </w:rPr>
              <w:t xml:space="preserve">de substitution </w:t>
            </w:r>
            <w:r w:rsidR="002255B5" w:rsidRPr="00162F97">
              <w:rPr>
                <w:sz w:val="20"/>
                <w:szCs w:val="20"/>
              </w:rPr>
              <w:t>les plus courant</w:t>
            </w:r>
            <w:r w:rsidR="003448BE" w:rsidRPr="00162F97">
              <w:rPr>
                <w:sz w:val="20"/>
                <w:szCs w:val="20"/>
              </w:rPr>
              <w:t>s</w:t>
            </w:r>
            <w:r w:rsidR="002255B5" w:rsidRPr="00162F97">
              <w:rPr>
                <w:sz w:val="20"/>
                <w:szCs w:val="20"/>
              </w:rPr>
              <w:t xml:space="preserve"> sont : la mise en liberté pr</w:t>
            </w:r>
            <w:r w:rsidR="00497F7F" w:rsidRPr="00162F97">
              <w:rPr>
                <w:sz w:val="20"/>
                <w:szCs w:val="20"/>
              </w:rPr>
              <w:t xml:space="preserve">ovisoire (+/- sous conditions) ou </w:t>
            </w:r>
            <w:r w:rsidR="002255B5" w:rsidRPr="00162F97">
              <w:rPr>
                <w:sz w:val="20"/>
                <w:szCs w:val="20"/>
              </w:rPr>
              <w:t>un mécanisme de justice restauratrice (tel que la médiation pénale)</w:t>
            </w:r>
            <w:r w:rsidR="00497F7F" w:rsidRPr="00162F97">
              <w:rPr>
                <w:sz w:val="20"/>
                <w:szCs w:val="20"/>
              </w:rPr>
              <w:t>.</w:t>
            </w:r>
            <w:r w:rsidR="00123FCD" w:rsidRPr="00162F97">
              <w:rPr>
                <w:sz w:val="20"/>
                <w:szCs w:val="20"/>
              </w:rPr>
              <w:t xml:space="preserve"> Sont exclus l’abandon des poursuites pour manque de preuves.</w:t>
            </w:r>
          </w:p>
          <w:p w:rsidR="00A72FCF" w:rsidRPr="00162F97" w:rsidRDefault="00A72FCF" w:rsidP="00A8405F">
            <w:pPr>
              <w:spacing w:after="120" w:line="240" w:lineRule="auto"/>
              <w:contextualSpacing/>
              <w:jc w:val="both"/>
              <w:rPr>
                <w:sz w:val="20"/>
                <w:szCs w:val="20"/>
              </w:rPr>
            </w:pPr>
          </w:p>
        </w:tc>
      </w:tr>
      <w:tr w:rsidR="00A72FCF"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72FCF" w:rsidRDefault="00A72FCF" w:rsidP="00A72FCF">
            <w:pPr>
              <w:spacing w:after="120" w:line="240" w:lineRule="auto"/>
              <w:contextualSpacing/>
              <w:jc w:val="both"/>
              <w:rPr>
                <w:b/>
                <w:bCs/>
                <w:lang w:val="fr-CH"/>
              </w:rPr>
            </w:pPr>
            <w:r w:rsidRPr="009926E5">
              <w:rPr>
                <w:b/>
                <w:bCs/>
                <w:lang w:val="fr-CH"/>
              </w:rPr>
              <w:t xml:space="preserve">Ce qu’il mesure </w:t>
            </w:r>
          </w:p>
          <w:p w:rsidR="009252B1" w:rsidRPr="009926E5" w:rsidRDefault="009252B1" w:rsidP="00A72FCF">
            <w:pPr>
              <w:spacing w:after="120" w:line="240" w:lineRule="auto"/>
              <w:contextualSpacing/>
              <w:jc w:val="both"/>
              <w:rPr>
                <w:b/>
                <w:bCs/>
                <w:lang w:val="fr-CH"/>
              </w:rPr>
            </w:pPr>
            <w:r w:rsidRPr="000F3E6A">
              <w:rPr>
                <w:rFonts w:ascii="Arial" w:hAnsi="Arial" w:cs="Arial"/>
                <w:noProof/>
                <w:sz w:val="18"/>
                <w:szCs w:val="18"/>
                <w:lang w:val="fr-CH" w:eastAsia="fr-CH"/>
              </w:rPr>
              <w:drawing>
                <wp:inline distT="0" distB="0" distL="0" distR="0" wp14:anchorId="7B5B4BD8" wp14:editId="78799653">
                  <wp:extent cx="486000" cy="4860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16 Peace, Justice and strong instituti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000" cy="486000"/>
                          </a:xfrm>
                          <a:prstGeom prst="rect">
                            <a:avLst/>
                          </a:prstGeom>
                        </pic:spPr>
                      </pic:pic>
                    </a:graphicData>
                  </a:graphic>
                </wp:inline>
              </w:drawing>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2FCF" w:rsidRPr="00162F97" w:rsidRDefault="00A72FCF" w:rsidP="0066509D">
            <w:pPr>
              <w:spacing w:after="120" w:line="240" w:lineRule="auto"/>
              <w:contextualSpacing/>
              <w:jc w:val="both"/>
              <w:rPr>
                <w:sz w:val="20"/>
                <w:szCs w:val="20"/>
              </w:rPr>
            </w:pPr>
            <w:r w:rsidRPr="00162F97">
              <w:rPr>
                <w:sz w:val="20"/>
                <w:szCs w:val="20"/>
              </w:rPr>
              <w:t xml:space="preserve">L’indicateur mesure le nombre d’enfants </w:t>
            </w:r>
            <w:r w:rsidR="00927E6A" w:rsidRPr="00162F97">
              <w:rPr>
                <w:sz w:val="20"/>
                <w:szCs w:val="20"/>
              </w:rPr>
              <w:t xml:space="preserve">en conflit avec la loi </w:t>
            </w:r>
            <w:r w:rsidR="00123FCD" w:rsidRPr="00162F97">
              <w:rPr>
                <w:sz w:val="20"/>
                <w:szCs w:val="20"/>
              </w:rPr>
              <w:t xml:space="preserve">qui </w:t>
            </w:r>
            <w:r w:rsidR="00927E6A" w:rsidRPr="00162F97">
              <w:rPr>
                <w:sz w:val="20"/>
                <w:szCs w:val="20"/>
              </w:rPr>
              <w:t>bénéficient de libération dans l’attente de leur jugement. Les effets négatifs de la détention</w:t>
            </w:r>
            <w:r w:rsidR="0066509D" w:rsidRPr="00162F97">
              <w:rPr>
                <w:sz w:val="20"/>
                <w:szCs w:val="20"/>
              </w:rPr>
              <w:t xml:space="preserve"> sont évités ce qui permet à l’enfant de rester dans son environnement scolaire, familial et communautaire.</w:t>
            </w:r>
          </w:p>
        </w:tc>
      </w:tr>
      <w:tr w:rsidR="00A72FCF"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72FCF" w:rsidRPr="009926E5" w:rsidRDefault="00A72FCF" w:rsidP="00A72FCF">
            <w:pPr>
              <w:spacing w:after="120" w:line="240" w:lineRule="auto"/>
              <w:contextualSpacing/>
              <w:jc w:val="both"/>
              <w:rPr>
                <w:b/>
                <w:bCs/>
              </w:rPr>
            </w:pPr>
            <w:r w:rsidRPr="009926E5">
              <w:rPr>
                <w:b/>
                <w:bCs/>
              </w:rPr>
              <w:t xml:space="preserve">Unité et désagrégation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7D46" w:rsidRPr="00162F97" w:rsidRDefault="00023BFA" w:rsidP="00A72FCF">
            <w:pPr>
              <w:spacing w:after="120" w:line="240" w:lineRule="auto"/>
              <w:contextualSpacing/>
              <w:jc w:val="both"/>
              <w:rPr>
                <w:sz w:val="20"/>
                <w:szCs w:val="20"/>
              </w:rPr>
            </w:pPr>
            <w:r w:rsidRPr="00162F97">
              <w:rPr>
                <w:sz w:val="20"/>
                <w:szCs w:val="20"/>
              </w:rPr>
              <w:t xml:space="preserve">Nombre de filles et de garçons en conflit avec la loi qui ont bénéficié d’un tel mécanisme. </w:t>
            </w:r>
          </w:p>
          <w:p w:rsidR="003B309F" w:rsidRPr="00162F97" w:rsidRDefault="00857D46" w:rsidP="00AB40C0">
            <w:pPr>
              <w:spacing w:after="120" w:line="240" w:lineRule="auto"/>
              <w:contextualSpacing/>
              <w:jc w:val="both"/>
              <w:rPr>
                <w:sz w:val="20"/>
                <w:szCs w:val="20"/>
              </w:rPr>
            </w:pPr>
            <w:r w:rsidRPr="00162F97">
              <w:rPr>
                <w:sz w:val="20"/>
                <w:szCs w:val="20"/>
              </w:rPr>
              <w:t xml:space="preserve">Une désagrégation selon le mécanisme d’alternative à la détention provisoire est </w:t>
            </w:r>
            <w:r w:rsidR="00AB40C0">
              <w:rPr>
                <w:sz w:val="20"/>
                <w:szCs w:val="20"/>
              </w:rPr>
              <w:t>désirable : 1) libération conditionnelle avec ou sans caution, 2) mécanisme JR, 3) autre.</w:t>
            </w:r>
          </w:p>
        </w:tc>
      </w:tr>
      <w:tr w:rsidR="00732CEB"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32CEB" w:rsidRPr="00023BFA" w:rsidRDefault="00732CEB" w:rsidP="00A72FCF">
            <w:pPr>
              <w:spacing w:after="120" w:line="240" w:lineRule="auto"/>
              <w:contextualSpacing/>
              <w:jc w:val="both"/>
              <w:rPr>
                <w:b/>
                <w:bCs/>
                <w:lang w:val="fr-CH"/>
              </w:rPr>
            </w:pPr>
            <w:r w:rsidRPr="00023BFA">
              <w:rPr>
                <w:b/>
                <w:bCs/>
                <w:lang w:val="fr-CH"/>
              </w:rPr>
              <w:t>Mode de calcul</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CEB" w:rsidRPr="00162F97" w:rsidRDefault="007A523F" w:rsidP="003B309F">
            <w:pPr>
              <w:spacing w:after="0"/>
              <w:rPr>
                <w:sz w:val="20"/>
                <w:szCs w:val="20"/>
              </w:rPr>
            </w:pPr>
            <w:r w:rsidRPr="00162F97">
              <w:rPr>
                <w:sz w:val="20"/>
                <w:szCs w:val="20"/>
              </w:rPr>
              <w:t xml:space="preserve">Le nombre d’enfant </w:t>
            </w:r>
            <w:r w:rsidR="003B309F" w:rsidRPr="00162F97">
              <w:rPr>
                <w:sz w:val="20"/>
                <w:szCs w:val="20"/>
              </w:rPr>
              <w:t xml:space="preserve"> (nouveaux cas) </w:t>
            </w:r>
            <w:r w:rsidRPr="00162F97">
              <w:rPr>
                <w:sz w:val="20"/>
                <w:szCs w:val="20"/>
              </w:rPr>
              <w:t>ayant bénéficié de ce type de mesure sur la période de mesure</w:t>
            </w:r>
            <w:r w:rsidR="003B309F">
              <w:rPr>
                <w:sz w:val="20"/>
                <w:szCs w:val="20"/>
              </w:rPr>
              <w:t xml:space="preserve"> </w:t>
            </w:r>
            <w:r w:rsidRPr="00162F97">
              <w:rPr>
                <w:sz w:val="20"/>
                <w:szCs w:val="20"/>
              </w:rPr>
              <w:t xml:space="preserve">est totalisé pour avoir un chiffre semestriel.  </w:t>
            </w:r>
          </w:p>
        </w:tc>
      </w:tr>
      <w:tr w:rsidR="00732CEB"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32CEB" w:rsidRPr="009926E5" w:rsidRDefault="00732CEB" w:rsidP="00A72FCF">
            <w:pPr>
              <w:spacing w:after="120" w:line="240" w:lineRule="auto"/>
              <w:contextualSpacing/>
              <w:jc w:val="both"/>
              <w:rPr>
                <w:b/>
                <w:bCs/>
                <w:lang w:val="fr-CH"/>
              </w:rPr>
            </w:pPr>
            <w:r w:rsidRPr="009926E5">
              <w:rPr>
                <w:b/>
                <w:bCs/>
                <w:lang w:val="fr-CH"/>
              </w:rPr>
              <w:t xml:space="preserve">Baseline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C0697E" w:rsidRPr="00162F97" w:rsidRDefault="00A40B6E" w:rsidP="003B309F">
            <w:pPr>
              <w:spacing w:after="0"/>
              <w:rPr>
                <w:sz w:val="20"/>
                <w:szCs w:val="20"/>
              </w:rPr>
            </w:pPr>
            <w:r w:rsidRPr="00162F97">
              <w:rPr>
                <w:sz w:val="20"/>
                <w:szCs w:val="20"/>
              </w:rPr>
              <w:t xml:space="preserve"> </w:t>
            </w:r>
            <w:r w:rsidR="00C97A9E" w:rsidRPr="00162F97">
              <w:rPr>
                <w:iCs/>
                <w:sz w:val="20"/>
                <w:szCs w:val="20"/>
              </w:rPr>
              <w:t xml:space="preserve">Pas de </w:t>
            </w:r>
            <w:proofErr w:type="spellStart"/>
            <w:r w:rsidR="00C97A9E" w:rsidRPr="00162F97">
              <w:rPr>
                <w:iCs/>
                <w:sz w:val="20"/>
                <w:szCs w:val="20"/>
              </w:rPr>
              <w:t>baseline</w:t>
            </w:r>
            <w:proofErr w:type="spellEnd"/>
            <w:r w:rsidR="00C97A9E" w:rsidRPr="00162F97">
              <w:rPr>
                <w:iCs/>
                <w:sz w:val="20"/>
                <w:szCs w:val="20"/>
              </w:rPr>
              <w:t xml:space="preserve"> nécessaire.</w:t>
            </w:r>
            <w:r w:rsidR="00C97A9E">
              <w:rPr>
                <w:iCs/>
                <w:sz w:val="20"/>
                <w:szCs w:val="20"/>
              </w:rPr>
              <w:t xml:space="preserve"> </w:t>
            </w:r>
          </w:p>
        </w:tc>
      </w:tr>
      <w:tr w:rsidR="00A72FCF"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72FCF" w:rsidRPr="009926E5" w:rsidRDefault="00A72FCF" w:rsidP="00A72FCF">
            <w:pPr>
              <w:spacing w:after="120" w:line="240" w:lineRule="auto"/>
              <w:contextualSpacing/>
              <w:jc w:val="both"/>
              <w:rPr>
                <w:b/>
                <w:bCs/>
              </w:rPr>
            </w:pPr>
            <w:r w:rsidRPr="009926E5">
              <w:rPr>
                <w:b/>
                <w:bCs/>
              </w:rPr>
              <w:t xml:space="preserve">Sources et méthodes de collecte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2F9E" w:rsidRPr="00162F97" w:rsidRDefault="00FB6001" w:rsidP="00852F9E">
            <w:pPr>
              <w:spacing w:after="120" w:line="240" w:lineRule="auto"/>
              <w:contextualSpacing/>
              <w:jc w:val="both"/>
              <w:rPr>
                <w:sz w:val="20"/>
                <w:szCs w:val="20"/>
              </w:rPr>
            </w:pPr>
            <w:r w:rsidRPr="00162F97">
              <w:rPr>
                <w:sz w:val="20"/>
                <w:szCs w:val="20"/>
              </w:rPr>
              <w:t>Données secondaires – Statistiques de routine du Parquet</w:t>
            </w:r>
            <w:r w:rsidR="00A40B6E" w:rsidRPr="00162F97">
              <w:rPr>
                <w:sz w:val="20"/>
                <w:szCs w:val="20"/>
              </w:rPr>
              <w:t xml:space="preserve">. </w:t>
            </w:r>
            <w:r w:rsidR="00852F9E" w:rsidRPr="00162F97">
              <w:rPr>
                <w:sz w:val="20"/>
                <w:szCs w:val="20"/>
              </w:rPr>
              <w:t>Le plus souvent l’information est à collecter au niveau du parquet qui décide de la mise en détention provisoire / préventive.</w:t>
            </w:r>
          </w:p>
          <w:p w:rsidR="00A72FCF" w:rsidRPr="00162F97" w:rsidRDefault="00A72FCF" w:rsidP="00852F9E">
            <w:pPr>
              <w:spacing w:after="120" w:line="240" w:lineRule="auto"/>
              <w:contextualSpacing/>
              <w:jc w:val="both"/>
              <w:rPr>
                <w:sz w:val="20"/>
                <w:szCs w:val="20"/>
              </w:rPr>
            </w:pPr>
            <w:r w:rsidRPr="00162F97">
              <w:rPr>
                <w:sz w:val="20"/>
                <w:szCs w:val="20"/>
              </w:rPr>
              <w:t>Sont à inclure l’ensemble des juridictions concernées par le projet.</w:t>
            </w:r>
          </w:p>
          <w:p w:rsidR="004074DD" w:rsidRPr="00162F97" w:rsidRDefault="004074DD" w:rsidP="00852F9E">
            <w:pPr>
              <w:spacing w:after="120" w:line="240" w:lineRule="auto"/>
              <w:contextualSpacing/>
              <w:jc w:val="both"/>
              <w:rPr>
                <w:sz w:val="20"/>
                <w:szCs w:val="20"/>
              </w:rPr>
            </w:pPr>
            <w:r w:rsidRPr="00162F97">
              <w:rPr>
                <w:sz w:val="20"/>
                <w:szCs w:val="20"/>
              </w:rPr>
              <w:t>Dans la mesure du possible, il faut essayer de croiser l’information et la recouper entre différentes sources.</w:t>
            </w:r>
          </w:p>
        </w:tc>
      </w:tr>
      <w:tr w:rsidR="00A72FCF"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72FCF" w:rsidRPr="009926E5" w:rsidRDefault="00A72FCF" w:rsidP="00A72FCF">
            <w:pPr>
              <w:spacing w:after="120" w:line="240" w:lineRule="auto"/>
              <w:contextualSpacing/>
              <w:jc w:val="both"/>
              <w:rPr>
                <w:b/>
                <w:bCs/>
                <w:lang w:val="en-US"/>
              </w:rPr>
            </w:pPr>
            <w:proofErr w:type="spellStart"/>
            <w:r w:rsidRPr="009926E5">
              <w:rPr>
                <w:b/>
                <w:bCs/>
                <w:lang w:val="en-US"/>
              </w:rPr>
              <w:t>Outils</w:t>
            </w:r>
            <w:proofErr w:type="spellEnd"/>
            <w:r w:rsidRPr="009926E5">
              <w:rPr>
                <w:b/>
                <w:bCs/>
                <w:lang w:val="en-US"/>
              </w:rPr>
              <w:t xml:space="preserve"> de </w:t>
            </w:r>
            <w:proofErr w:type="spellStart"/>
            <w:r w:rsidRPr="009926E5">
              <w:rPr>
                <w:b/>
                <w:bCs/>
                <w:lang w:val="en-US"/>
              </w:rPr>
              <w:t>collecte</w:t>
            </w:r>
            <w:proofErr w:type="spellEnd"/>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B6001" w:rsidRPr="00162F97" w:rsidRDefault="00FB6001" w:rsidP="00311D2C">
            <w:pPr>
              <w:spacing w:after="120" w:line="240" w:lineRule="auto"/>
              <w:contextualSpacing/>
              <w:jc w:val="both"/>
              <w:rPr>
                <w:sz w:val="20"/>
                <w:szCs w:val="20"/>
              </w:rPr>
            </w:pPr>
            <w:r w:rsidRPr="00162F97">
              <w:rPr>
                <w:sz w:val="20"/>
                <w:szCs w:val="20"/>
              </w:rPr>
              <w:t>Fiche collecte statistique de routine</w:t>
            </w:r>
          </w:p>
          <w:p w:rsidR="007470AF" w:rsidRPr="00162F97" w:rsidRDefault="007470AF" w:rsidP="00311D2C">
            <w:pPr>
              <w:spacing w:after="120" w:line="240" w:lineRule="auto"/>
              <w:contextualSpacing/>
              <w:jc w:val="both"/>
              <w:rPr>
                <w:sz w:val="20"/>
                <w:szCs w:val="20"/>
              </w:rPr>
            </w:pPr>
            <w:r w:rsidRPr="00162F97">
              <w:rPr>
                <w:sz w:val="20"/>
                <w:szCs w:val="20"/>
              </w:rPr>
              <w:t xml:space="preserve">Grille pour la compilation des </w:t>
            </w:r>
            <w:proofErr w:type="spellStart"/>
            <w:r w:rsidRPr="00162F97">
              <w:rPr>
                <w:sz w:val="20"/>
                <w:szCs w:val="20"/>
              </w:rPr>
              <w:t>stats</w:t>
            </w:r>
            <w:proofErr w:type="spellEnd"/>
          </w:p>
        </w:tc>
      </w:tr>
      <w:tr w:rsidR="00A72FCF" w:rsidRPr="009926E5" w:rsidTr="00D144B3">
        <w:tc>
          <w:tcPr>
            <w:tcW w:w="2303" w:type="dxa"/>
            <w:tcBorders>
              <w:top w:val="single" w:sz="4" w:space="0" w:color="auto"/>
              <w:left w:val="single" w:sz="4" w:space="0" w:color="auto"/>
              <w:bottom w:val="nil"/>
              <w:right w:val="single" w:sz="4" w:space="0" w:color="auto"/>
            </w:tcBorders>
            <w:shd w:val="clear" w:color="auto" w:fill="DBE5F1" w:themeFill="accent1" w:themeFillTint="33"/>
            <w:hideMark/>
          </w:tcPr>
          <w:p w:rsidR="00A72FCF" w:rsidRPr="009926E5" w:rsidRDefault="00A72FCF" w:rsidP="00A72FCF">
            <w:pPr>
              <w:spacing w:after="120" w:line="240" w:lineRule="auto"/>
              <w:contextualSpacing/>
              <w:jc w:val="both"/>
              <w:rPr>
                <w:b/>
                <w:bCs/>
              </w:rPr>
            </w:pPr>
          </w:p>
        </w:tc>
        <w:tc>
          <w:tcPr>
            <w:tcW w:w="6877" w:type="dxa"/>
            <w:tcBorders>
              <w:top w:val="single" w:sz="4" w:space="0" w:color="auto"/>
              <w:left w:val="single" w:sz="4" w:space="0" w:color="auto"/>
              <w:bottom w:val="nil"/>
              <w:right w:val="single" w:sz="4" w:space="0" w:color="auto"/>
            </w:tcBorders>
            <w:shd w:val="clear" w:color="auto" w:fill="FFFFFF" w:themeFill="background1"/>
            <w:hideMark/>
          </w:tcPr>
          <w:p w:rsidR="00A72FCF" w:rsidRPr="00162F97" w:rsidRDefault="00A72FCF" w:rsidP="00A72FCF">
            <w:pPr>
              <w:spacing w:after="120" w:line="240" w:lineRule="auto"/>
              <w:contextualSpacing/>
              <w:jc w:val="both"/>
              <w:rPr>
                <w:sz w:val="20"/>
                <w:szCs w:val="20"/>
              </w:rPr>
            </w:pPr>
          </w:p>
        </w:tc>
      </w:tr>
      <w:tr w:rsidR="00A72FCF" w:rsidRPr="009926E5" w:rsidTr="00D144B3">
        <w:tc>
          <w:tcPr>
            <w:tcW w:w="2303" w:type="dxa"/>
            <w:tcBorders>
              <w:top w:val="nil"/>
              <w:left w:val="single" w:sz="4" w:space="0" w:color="auto"/>
              <w:bottom w:val="single" w:sz="4" w:space="0" w:color="auto"/>
              <w:right w:val="single" w:sz="4" w:space="0" w:color="auto"/>
            </w:tcBorders>
            <w:shd w:val="clear" w:color="auto" w:fill="DBE5F1" w:themeFill="accent1" w:themeFillTint="33"/>
            <w:hideMark/>
          </w:tcPr>
          <w:p w:rsidR="00A72FCF" w:rsidRPr="009926E5" w:rsidRDefault="00A72FCF" w:rsidP="00A72FCF">
            <w:pPr>
              <w:spacing w:after="120" w:line="240" w:lineRule="auto"/>
              <w:contextualSpacing/>
              <w:jc w:val="both"/>
              <w:rPr>
                <w:b/>
                <w:bCs/>
                <w:lang w:val="fr-CH"/>
              </w:rPr>
            </w:pPr>
            <w:r w:rsidRPr="009926E5">
              <w:rPr>
                <w:b/>
                <w:bCs/>
                <w:lang w:val="fr-CH"/>
              </w:rPr>
              <w:lastRenderedPageBreak/>
              <w:t>Temporalité</w:t>
            </w:r>
          </w:p>
        </w:tc>
        <w:tc>
          <w:tcPr>
            <w:tcW w:w="6877" w:type="dxa"/>
            <w:tcBorders>
              <w:top w:val="nil"/>
              <w:left w:val="single" w:sz="4" w:space="0" w:color="auto"/>
              <w:bottom w:val="single" w:sz="4" w:space="0" w:color="auto"/>
              <w:right w:val="single" w:sz="4" w:space="0" w:color="auto"/>
            </w:tcBorders>
            <w:shd w:val="clear" w:color="auto" w:fill="FFFFFF" w:themeFill="background1"/>
            <w:hideMark/>
          </w:tcPr>
          <w:p w:rsidR="00A72FCF" w:rsidRPr="00162F97" w:rsidRDefault="00A72FCF" w:rsidP="004074DD">
            <w:pPr>
              <w:spacing w:after="120" w:line="240" w:lineRule="auto"/>
              <w:contextualSpacing/>
              <w:jc w:val="both"/>
              <w:rPr>
                <w:sz w:val="20"/>
                <w:szCs w:val="20"/>
              </w:rPr>
            </w:pPr>
            <w:r w:rsidRPr="00162F97">
              <w:rPr>
                <w:sz w:val="20"/>
                <w:szCs w:val="20"/>
              </w:rPr>
              <w:t>La collecte des données est effectuée</w:t>
            </w:r>
            <w:r w:rsidR="00843AB8" w:rsidRPr="00162F97">
              <w:rPr>
                <w:sz w:val="20"/>
                <w:szCs w:val="20"/>
              </w:rPr>
              <w:t xml:space="preserve"> à une</w:t>
            </w:r>
            <w:r w:rsidRPr="00162F97">
              <w:rPr>
                <w:sz w:val="20"/>
                <w:szCs w:val="20"/>
              </w:rPr>
              <w:t xml:space="preserve"> </w:t>
            </w:r>
            <w:r w:rsidR="00AF6E94" w:rsidRPr="00162F97">
              <w:rPr>
                <w:b/>
                <w:sz w:val="20"/>
                <w:szCs w:val="20"/>
                <w:lang w:val="fr-CH"/>
              </w:rPr>
              <w:t>fréquence libre selon les capacités de chaque délégation</w:t>
            </w:r>
            <w:r w:rsidR="003B309F">
              <w:rPr>
                <w:b/>
                <w:sz w:val="20"/>
                <w:szCs w:val="20"/>
                <w:lang w:val="fr-CH"/>
              </w:rPr>
              <w:t xml:space="preserve"> </w:t>
            </w:r>
            <w:r w:rsidR="004B60E9" w:rsidRPr="00162F97">
              <w:rPr>
                <w:b/>
                <w:sz w:val="20"/>
                <w:szCs w:val="20"/>
                <w:lang w:val="fr-CH"/>
              </w:rPr>
              <w:t>(sera déterminé par l’accès aux données secondaires)</w:t>
            </w:r>
            <w:r w:rsidR="00843AB8" w:rsidRPr="00162F97">
              <w:rPr>
                <w:b/>
                <w:sz w:val="20"/>
                <w:szCs w:val="20"/>
                <w:lang w:val="fr-CH"/>
              </w:rPr>
              <w:t xml:space="preserve"> </w:t>
            </w:r>
            <w:r w:rsidRPr="00162F97">
              <w:rPr>
                <w:sz w:val="20"/>
                <w:szCs w:val="20"/>
              </w:rPr>
              <w:t xml:space="preserve">en prenant soin que les cas en début et en fin de </w:t>
            </w:r>
            <w:r w:rsidR="00843AB8" w:rsidRPr="00162F97">
              <w:rPr>
                <w:sz w:val="20"/>
                <w:szCs w:val="20"/>
              </w:rPr>
              <w:t xml:space="preserve">période </w:t>
            </w:r>
            <w:r w:rsidRPr="00162F97">
              <w:rPr>
                <w:sz w:val="20"/>
                <w:szCs w:val="20"/>
              </w:rPr>
              <w:t>ne soient pas comptabilisés en double.</w:t>
            </w:r>
            <w:r w:rsidR="00AF6E94" w:rsidRPr="00162F97">
              <w:rPr>
                <w:b/>
                <w:sz w:val="20"/>
                <w:szCs w:val="20"/>
                <w:lang w:val="fr-CH"/>
              </w:rPr>
              <w:t xml:space="preserve"> Le </w:t>
            </w:r>
            <w:proofErr w:type="spellStart"/>
            <w:r w:rsidR="00AF6E94" w:rsidRPr="00162F97">
              <w:rPr>
                <w:b/>
                <w:sz w:val="20"/>
                <w:szCs w:val="20"/>
                <w:lang w:val="fr-CH"/>
              </w:rPr>
              <w:t>reporting</w:t>
            </w:r>
            <w:proofErr w:type="spellEnd"/>
            <w:r w:rsidR="00AF6E94" w:rsidRPr="00162F97">
              <w:rPr>
                <w:b/>
                <w:sz w:val="20"/>
                <w:szCs w:val="20"/>
                <w:lang w:val="fr-CH"/>
              </w:rPr>
              <w:t xml:space="preserve"> est effectué de façon semestrielle.</w:t>
            </w:r>
            <w:r w:rsidR="003B309F">
              <w:rPr>
                <w:b/>
                <w:sz w:val="20"/>
                <w:szCs w:val="20"/>
                <w:lang w:val="fr-CH"/>
              </w:rPr>
              <w:t xml:space="preserve">  </w:t>
            </w:r>
          </w:p>
        </w:tc>
      </w:tr>
      <w:tr w:rsidR="00A72FCF"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72FCF" w:rsidRPr="009926E5" w:rsidRDefault="00A72FCF" w:rsidP="00A72FCF">
            <w:pPr>
              <w:spacing w:after="120" w:line="240" w:lineRule="auto"/>
              <w:contextualSpacing/>
              <w:jc w:val="both"/>
              <w:rPr>
                <w:b/>
                <w:bCs/>
                <w:lang w:val="fr-CH"/>
              </w:rPr>
            </w:pPr>
            <w:r w:rsidRPr="009926E5">
              <w:rPr>
                <w:b/>
                <w:bCs/>
                <w:lang w:val="fr-CH"/>
              </w:rPr>
              <w:t>Rôles et responsabilités</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A72FCF" w:rsidRPr="00162F97" w:rsidRDefault="00C0697E" w:rsidP="00A72FCF">
            <w:pPr>
              <w:spacing w:after="120" w:line="240" w:lineRule="auto"/>
              <w:contextualSpacing/>
              <w:jc w:val="both"/>
              <w:rPr>
                <w:sz w:val="20"/>
                <w:szCs w:val="20"/>
              </w:rPr>
            </w:pPr>
            <w:r w:rsidRPr="00162F97">
              <w:rPr>
                <w:sz w:val="20"/>
                <w:szCs w:val="20"/>
              </w:rPr>
              <w:t xml:space="preserve">Les rôles et responsabilités sont établis dès le début de la collecte. </w:t>
            </w:r>
            <w:r w:rsidR="00A72FCF" w:rsidRPr="00162F97">
              <w:rPr>
                <w:sz w:val="20"/>
                <w:szCs w:val="20"/>
              </w:rPr>
              <w:t>La consolidation des données pour chaque délégation est sous la responsabilité du chef de projet ou coordinateur de projet en justice (ou protection), qui peut déléguer la collecte aux équipes terrain (responsable M&amp;E, travailleurs sociaux, juriste, etc.). L’information est envoyée avec des commentaires au chef de délégation qui la transmet au coordinateur justice au niveau régional</w:t>
            </w:r>
            <w:r w:rsidR="00843AB8" w:rsidRPr="00162F97">
              <w:rPr>
                <w:sz w:val="20"/>
                <w:szCs w:val="20"/>
              </w:rPr>
              <w:t xml:space="preserve"> qui consolide les informations </w:t>
            </w:r>
            <w:r w:rsidR="004B60E9" w:rsidRPr="00162F97">
              <w:rPr>
                <w:sz w:val="20"/>
                <w:szCs w:val="20"/>
              </w:rPr>
              <w:t xml:space="preserve">en provenance des délégations de la région </w:t>
            </w:r>
            <w:r w:rsidR="00843AB8" w:rsidRPr="00162F97">
              <w:rPr>
                <w:sz w:val="20"/>
                <w:szCs w:val="20"/>
              </w:rPr>
              <w:t>et les envoie au siège.</w:t>
            </w:r>
          </w:p>
        </w:tc>
      </w:tr>
      <w:tr w:rsidR="00A72FCF"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72FCF" w:rsidRPr="009926E5" w:rsidRDefault="00A72FCF" w:rsidP="00A72FCF">
            <w:pPr>
              <w:spacing w:after="120" w:line="240" w:lineRule="auto"/>
              <w:contextualSpacing/>
              <w:jc w:val="both"/>
              <w:rPr>
                <w:b/>
                <w:bCs/>
              </w:rPr>
            </w:pPr>
            <w:r w:rsidRPr="009926E5">
              <w:rPr>
                <w:b/>
                <w:bCs/>
              </w:rPr>
              <w:t>Enjeux liés à la qualité préconisés</w:t>
            </w:r>
          </w:p>
          <w:p w:rsidR="00A72FCF" w:rsidRPr="009926E5" w:rsidRDefault="00A72FCF" w:rsidP="00A72FCF">
            <w:pPr>
              <w:spacing w:after="120" w:line="240" w:lineRule="auto"/>
              <w:contextualSpacing/>
              <w:jc w:val="both"/>
              <w:rPr>
                <w:b/>
                <w:bCs/>
              </w:rPr>
            </w:pP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2FCF" w:rsidRPr="00162F97" w:rsidRDefault="00A72FCF" w:rsidP="00A72FCF">
            <w:pPr>
              <w:spacing w:after="120" w:line="240" w:lineRule="auto"/>
              <w:contextualSpacing/>
              <w:jc w:val="both"/>
              <w:rPr>
                <w:sz w:val="20"/>
                <w:szCs w:val="20"/>
              </w:rPr>
            </w:pPr>
            <w:r w:rsidRPr="00162F97">
              <w:rPr>
                <w:sz w:val="20"/>
                <w:szCs w:val="20"/>
              </w:rPr>
              <w:t>La qualité des indicateurs peut être affectée par la rigueur de collecte d’informations par les institutions concernées, qui si elles ne transmettent pas la bonne information, peuvent conduire en erreur.</w:t>
            </w:r>
          </w:p>
          <w:p w:rsidR="00054966" w:rsidRPr="00162F97" w:rsidRDefault="007470AF" w:rsidP="00D15E1A">
            <w:pPr>
              <w:pStyle w:val="Paragraphedeliste"/>
              <w:numPr>
                <w:ilvl w:val="0"/>
                <w:numId w:val="6"/>
              </w:numPr>
              <w:spacing w:after="120" w:line="240" w:lineRule="auto"/>
              <w:jc w:val="both"/>
              <w:rPr>
                <w:sz w:val="20"/>
                <w:szCs w:val="20"/>
              </w:rPr>
            </w:pPr>
            <w:r w:rsidRPr="00162F97">
              <w:rPr>
                <w:sz w:val="20"/>
                <w:szCs w:val="20"/>
              </w:rPr>
              <w:t xml:space="preserve">Si </w:t>
            </w:r>
            <w:r w:rsidR="00BE7857" w:rsidRPr="00162F97">
              <w:rPr>
                <w:sz w:val="20"/>
                <w:szCs w:val="20"/>
              </w:rPr>
              <w:t>l</w:t>
            </w:r>
            <w:r w:rsidRPr="00162F97">
              <w:rPr>
                <w:sz w:val="20"/>
                <w:szCs w:val="20"/>
              </w:rPr>
              <w:t>a collecte de données doit s’effectuer sur la base des informations fournies par l’institution concernée, elle peut être croisée avec des informations fournies par les autres institutions partenaires (par exemple, l’information fournie par le parquet peut être vérifiée avec le tribunal, ou avec les réseaux de protection de l’enfance, lorsque ceux-ci ont un accès à l’information).</w:t>
            </w:r>
            <w:r w:rsidR="004B60E9" w:rsidRPr="00162F97">
              <w:rPr>
                <w:sz w:val="20"/>
                <w:szCs w:val="20"/>
              </w:rPr>
              <w:t xml:space="preserve"> </w:t>
            </w:r>
          </w:p>
          <w:p w:rsidR="00054966" w:rsidRPr="00162F97" w:rsidRDefault="00BE7857" w:rsidP="00D15E1A">
            <w:pPr>
              <w:pStyle w:val="Paragraphedeliste"/>
              <w:numPr>
                <w:ilvl w:val="0"/>
                <w:numId w:val="6"/>
              </w:numPr>
              <w:spacing w:after="120" w:line="240" w:lineRule="auto"/>
              <w:jc w:val="both"/>
              <w:rPr>
                <w:sz w:val="20"/>
                <w:szCs w:val="20"/>
              </w:rPr>
            </w:pPr>
            <w:r w:rsidRPr="00162F97">
              <w:rPr>
                <w:sz w:val="20"/>
                <w:szCs w:val="20"/>
              </w:rPr>
              <w:t>I</w:t>
            </w:r>
            <w:r w:rsidR="00A72FCF" w:rsidRPr="00162F97">
              <w:rPr>
                <w:sz w:val="20"/>
                <w:szCs w:val="20"/>
              </w:rPr>
              <w:t xml:space="preserve">l est important d’inclure tous les « points d’entrées » de la juridiction concernée </w:t>
            </w:r>
            <w:r w:rsidR="002655C6" w:rsidRPr="00162F97">
              <w:rPr>
                <w:sz w:val="20"/>
                <w:szCs w:val="20"/>
              </w:rPr>
              <w:t>qui peuvent être plusieurs notamment dans le cas de projet d’ambition nationale</w:t>
            </w:r>
            <w:r w:rsidR="00A72FCF" w:rsidRPr="00162F97">
              <w:rPr>
                <w:sz w:val="20"/>
                <w:szCs w:val="20"/>
              </w:rPr>
              <w:t xml:space="preserve"> (ex : </w:t>
            </w:r>
            <w:r w:rsidR="002655C6" w:rsidRPr="00162F97">
              <w:rPr>
                <w:sz w:val="20"/>
                <w:szCs w:val="20"/>
              </w:rPr>
              <w:t>tous les parquets de toutes les régions d’intervention</w:t>
            </w:r>
            <w:r w:rsidR="00A72FCF" w:rsidRPr="00162F97">
              <w:rPr>
                <w:sz w:val="20"/>
                <w:szCs w:val="20"/>
              </w:rPr>
              <w:t>).</w:t>
            </w:r>
          </w:p>
          <w:p w:rsidR="00A72FCF" w:rsidRPr="00162F97" w:rsidRDefault="007C5A6C" w:rsidP="00D15E1A">
            <w:pPr>
              <w:pStyle w:val="Paragraphedeliste"/>
              <w:numPr>
                <w:ilvl w:val="0"/>
                <w:numId w:val="6"/>
              </w:numPr>
              <w:spacing w:after="120" w:line="240" w:lineRule="auto"/>
              <w:jc w:val="both"/>
              <w:rPr>
                <w:sz w:val="20"/>
                <w:szCs w:val="20"/>
              </w:rPr>
            </w:pPr>
            <w:r w:rsidRPr="00162F97">
              <w:rPr>
                <w:sz w:val="20"/>
                <w:szCs w:val="20"/>
              </w:rPr>
              <w:t xml:space="preserve">La clarification du concept d’alternative à la détention provisoire </w:t>
            </w:r>
            <w:r w:rsidR="00A72FCF" w:rsidRPr="00162F97">
              <w:rPr>
                <w:sz w:val="20"/>
                <w:szCs w:val="20"/>
              </w:rPr>
              <w:t>est importante aussi auprès des institutions pour s’assurer que les enfants qui ne sont pas poursuivis par manque de preuves, ou d’autres raisons, ne soient pas comptabilisés dans ces chiffres.</w:t>
            </w:r>
            <w:r w:rsidR="003B309F">
              <w:rPr>
                <w:sz w:val="20"/>
                <w:szCs w:val="20"/>
              </w:rPr>
              <w:t xml:space="preserve"> </w:t>
            </w:r>
            <w:r w:rsidR="003B309F">
              <w:rPr>
                <w:iCs/>
                <w:sz w:val="20"/>
                <w:szCs w:val="20"/>
              </w:rPr>
              <w:t xml:space="preserve">Travail préalable à mener : </w:t>
            </w:r>
            <w:r w:rsidR="003B309F" w:rsidRPr="00162F97">
              <w:rPr>
                <w:iCs/>
                <w:sz w:val="20"/>
                <w:szCs w:val="20"/>
              </w:rPr>
              <w:t xml:space="preserve"> </w:t>
            </w:r>
            <w:r w:rsidR="003B309F">
              <w:rPr>
                <w:sz w:val="20"/>
                <w:szCs w:val="20"/>
              </w:rPr>
              <w:t>i</w:t>
            </w:r>
            <w:r w:rsidR="003B309F" w:rsidRPr="00162F97">
              <w:rPr>
                <w:sz w:val="20"/>
                <w:szCs w:val="20"/>
              </w:rPr>
              <w:t xml:space="preserve">l faut commencer par clarifier les étapes clés de la chaine pénale </w:t>
            </w:r>
            <w:r w:rsidR="003B309F">
              <w:rPr>
                <w:sz w:val="20"/>
                <w:szCs w:val="20"/>
              </w:rPr>
              <w:t>dans le pays et le vocabulaire utilisé</w:t>
            </w:r>
            <w:r w:rsidR="003B309F" w:rsidRPr="00162F97">
              <w:rPr>
                <w:sz w:val="20"/>
                <w:szCs w:val="20"/>
              </w:rPr>
              <w:t xml:space="preserve">. Ces éléments contextuels doivent être envoyé en même temps que le </w:t>
            </w:r>
            <w:proofErr w:type="spellStart"/>
            <w:r w:rsidR="003B309F" w:rsidRPr="00162F97">
              <w:rPr>
                <w:sz w:val="20"/>
                <w:szCs w:val="20"/>
              </w:rPr>
              <w:t>reporting</w:t>
            </w:r>
            <w:proofErr w:type="spellEnd"/>
            <w:r w:rsidR="003B309F" w:rsidRPr="00162F97">
              <w:rPr>
                <w:sz w:val="20"/>
                <w:szCs w:val="20"/>
              </w:rPr>
              <w:t xml:space="preserve"> indicateurs</w:t>
            </w:r>
            <w:r w:rsidR="003B309F">
              <w:rPr>
                <w:iCs/>
                <w:sz w:val="20"/>
                <w:szCs w:val="20"/>
              </w:rPr>
              <w:t>.</w:t>
            </w:r>
          </w:p>
          <w:p w:rsidR="00054966" w:rsidRPr="00162F97" w:rsidRDefault="00054966" w:rsidP="00A72FCF">
            <w:pPr>
              <w:spacing w:after="120" w:line="240" w:lineRule="auto"/>
              <w:contextualSpacing/>
              <w:jc w:val="both"/>
              <w:rPr>
                <w:sz w:val="20"/>
                <w:szCs w:val="20"/>
              </w:rPr>
            </w:pPr>
            <w:r w:rsidRPr="00162F97">
              <w:rPr>
                <w:sz w:val="20"/>
                <w:szCs w:val="20"/>
              </w:rPr>
              <w:t xml:space="preserve">L’accès à l’information dans un laps de temps raisonnable peut constituer un défit </w:t>
            </w:r>
          </w:p>
          <w:p w:rsidR="00A72FCF" w:rsidRPr="00162F97" w:rsidRDefault="00A72FCF" w:rsidP="00054966">
            <w:pPr>
              <w:pStyle w:val="Paragraphedeliste"/>
              <w:numPr>
                <w:ilvl w:val="0"/>
                <w:numId w:val="6"/>
              </w:numPr>
              <w:spacing w:after="120" w:line="240" w:lineRule="auto"/>
              <w:jc w:val="both"/>
              <w:rPr>
                <w:sz w:val="20"/>
                <w:szCs w:val="20"/>
              </w:rPr>
            </w:pPr>
            <w:r w:rsidRPr="00162F97">
              <w:rPr>
                <w:sz w:val="20"/>
                <w:szCs w:val="20"/>
              </w:rPr>
              <w:t xml:space="preserve">Il peut être nécessaire d’inclure la collecte de donnée dans les </w:t>
            </w:r>
            <w:proofErr w:type="spellStart"/>
            <w:r w:rsidRPr="00162F97">
              <w:rPr>
                <w:sz w:val="20"/>
                <w:szCs w:val="20"/>
              </w:rPr>
              <w:t>MoU</w:t>
            </w:r>
            <w:proofErr w:type="spellEnd"/>
            <w:r w:rsidRPr="00162F97">
              <w:rPr>
                <w:sz w:val="20"/>
                <w:szCs w:val="20"/>
              </w:rPr>
              <w:t xml:space="preserve"> avec les institutions partenaires pour assurer l’accès à l’information.</w:t>
            </w:r>
            <w:r w:rsidR="00C12824" w:rsidRPr="00162F97">
              <w:rPr>
                <w:sz w:val="20"/>
                <w:szCs w:val="20"/>
              </w:rPr>
              <w:t xml:space="preserve"> Il est possible que l’information soit à collecter depuis plusieurs endroits dans une même juridiction. Il faut donc être en contact avec les différents « points d’entrée » des enfants en conflit avec la loi (ex : commissariat de police) et s’assurer que les informations fournies tous les mois sont fiables.</w:t>
            </w:r>
          </w:p>
          <w:p w:rsidR="00A72FCF" w:rsidRPr="00162F97" w:rsidRDefault="00A72FCF">
            <w:pPr>
              <w:spacing w:after="120" w:line="240" w:lineRule="auto"/>
              <w:contextualSpacing/>
              <w:jc w:val="both"/>
              <w:rPr>
                <w:sz w:val="20"/>
                <w:szCs w:val="20"/>
              </w:rPr>
            </w:pPr>
          </w:p>
        </w:tc>
      </w:tr>
      <w:tr w:rsidR="00A72FCF"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72FCF" w:rsidRPr="009926E5" w:rsidRDefault="00A72FCF" w:rsidP="00A72FCF">
            <w:pPr>
              <w:spacing w:after="120" w:line="240" w:lineRule="auto"/>
              <w:contextualSpacing/>
              <w:jc w:val="both"/>
              <w:rPr>
                <w:b/>
                <w:bCs/>
                <w:lang w:val="en-US"/>
              </w:rPr>
            </w:pPr>
            <w:r w:rsidRPr="009926E5">
              <w:rPr>
                <w:b/>
                <w:bCs/>
                <w:lang w:val="en-US"/>
              </w:rPr>
              <w:t xml:space="preserve">Plan </w:t>
            </w:r>
            <w:proofErr w:type="spellStart"/>
            <w:r w:rsidRPr="009926E5">
              <w:rPr>
                <w:b/>
                <w:bCs/>
                <w:lang w:val="en-US"/>
              </w:rPr>
              <w:t>d’analyse</w:t>
            </w:r>
            <w:proofErr w:type="spellEnd"/>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AB40C0" w:rsidRDefault="00AB40C0" w:rsidP="00C12824">
            <w:pPr>
              <w:spacing w:after="120" w:line="240" w:lineRule="auto"/>
              <w:contextualSpacing/>
              <w:jc w:val="both"/>
              <w:rPr>
                <w:sz w:val="20"/>
                <w:szCs w:val="20"/>
              </w:rPr>
            </w:pPr>
            <w:r>
              <w:rPr>
                <w:sz w:val="20"/>
                <w:szCs w:val="20"/>
              </w:rPr>
              <w:t xml:space="preserve">Il sera utile de analyser les données de la manière suivante </w:t>
            </w:r>
          </w:p>
          <w:p w:rsidR="003B309F" w:rsidRPr="00D65174" w:rsidRDefault="003B309F" w:rsidP="00C12824">
            <w:pPr>
              <w:pStyle w:val="Paragraphedeliste"/>
              <w:numPr>
                <w:ilvl w:val="0"/>
                <w:numId w:val="9"/>
              </w:numPr>
              <w:spacing w:after="120" w:line="240" w:lineRule="auto"/>
              <w:jc w:val="both"/>
              <w:rPr>
                <w:sz w:val="20"/>
                <w:szCs w:val="20"/>
              </w:rPr>
            </w:pPr>
            <w:r w:rsidRPr="00AB40C0">
              <w:rPr>
                <w:sz w:val="20"/>
                <w:szCs w:val="20"/>
              </w:rPr>
              <w:t>Répartition par genre.</w:t>
            </w:r>
          </w:p>
          <w:p w:rsidR="00054966" w:rsidRPr="00162F97" w:rsidRDefault="003B309F" w:rsidP="00C12824">
            <w:pPr>
              <w:spacing w:after="120" w:line="240" w:lineRule="auto"/>
              <w:contextualSpacing/>
              <w:jc w:val="both"/>
              <w:rPr>
                <w:sz w:val="20"/>
                <w:szCs w:val="20"/>
              </w:rPr>
            </w:pPr>
            <w:r>
              <w:rPr>
                <w:sz w:val="20"/>
                <w:szCs w:val="20"/>
              </w:rPr>
              <w:t>Dans les rapports narratifs, i</w:t>
            </w:r>
            <w:r w:rsidR="00C12824" w:rsidRPr="00162F97">
              <w:rPr>
                <w:sz w:val="20"/>
                <w:szCs w:val="20"/>
              </w:rPr>
              <w:t xml:space="preserve">l </w:t>
            </w:r>
            <w:r>
              <w:rPr>
                <w:sz w:val="20"/>
                <w:szCs w:val="20"/>
              </w:rPr>
              <w:t>sera</w:t>
            </w:r>
            <w:r w:rsidR="00C12824" w:rsidRPr="00162F97">
              <w:rPr>
                <w:sz w:val="20"/>
                <w:szCs w:val="20"/>
              </w:rPr>
              <w:t xml:space="preserve"> important de compléter l’information </w:t>
            </w:r>
            <w:r w:rsidR="005C64D2" w:rsidRPr="00162F97">
              <w:rPr>
                <w:sz w:val="20"/>
                <w:szCs w:val="20"/>
              </w:rPr>
              <w:t xml:space="preserve">quantitative par une analyse critique </w:t>
            </w:r>
            <w:r w:rsidR="00C12824" w:rsidRPr="00162F97">
              <w:rPr>
                <w:sz w:val="20"/>
                <w:szCs w:val="20"/>
              </w:rPr>
              <w:t>sur l’utilisation de les mesures alternatives</w:t>
            </w:r>
            <w:r w:rsidR="005C64D2" w:rsidRPr="00162F97">
              <w:rPr>
                <w:sz w:val="20"/>
                <w:szCs w:val="20"/>
              </w:rPr>
              <w:t xml:space="preserve"> (en fonction des capacités de la délégation, en terme d’accès à l’information notamment)</w:t>
            </w:r>
            <w:r w:rsidR="00C12824" w:rsidRPr="00162F97">
              <w:rPr>
                <w:sz w:val="20"/>
                <w:szCs w:val="20"/>
              </w:rPr>
              <w:t xml:space="preserve">: </w:t>
            </w:r>
          </w:p>
          <w:p w:rsidR="00054966" w:rsidRPr="00162F97" w:rsidRDefault="00054966" w:rsidP="00D65174">
            <w:pPr>
              <w:pStyle w:val="Paragraphedeliste"/>
              <w:numPr>
                <w:ilvl w:val="0"/>
                <w:numId w:val="9"/>
              </w:numPr>
              <w:spacing w:after="120" w:line="240" w:lineRule="auto"/>
              <w:jc w:val="both"/>
              <w:rPr>
                <w:sz w:val="20"/>
                <w:szCs w:val="20"/>
              </w:rPr>
            </w:pPr>
            <w:r w:rsidRPr="00162F97">
              <w:rPr>
                <w:sz w:val="20"/>
                <w:szCs w:val="20"/>
              </w:rPr>
              <w:t>Q</w:t>
            </w:r>
            <w:r w:rsidR="00C12824" w:rsidRPr="00162F97">
              <w:rPr>
                <w:sz w:val="20"/>
                <w:szCs w:val="20"/>
              </w:rPr>
              <w:t>uels sont les types d’infractions qui bénéficient de ces mesures?</w:t>
            </w:r>
          </w:p>
          <w:p w:rsidR="00054966" w:rsidRPr="00162F97" w:rsidRDefault="00C12824" w:rsidP="00D65174">
            <w:pPr>
              <w:pStyle w:val="Paragraphedeliste"/>
              <w:numPr>
                <w:ilvl w:val="0"/>
                <w:numId w:val="9"/>
              </w:numPr>
              <w:spacing w:after="120" w:line="240" w:lineRule="auto"/>
              <w:jc w:val="both"/>
              <w:rPr>
                <w:sz w:val="20"/>
                <w:szCs w:val="20"/>
              </w:rPr>
            </w:pPr>
            <w:r w:rsidRPr="00162F97">
              <w:rPr>
                <w:sz w:val="20"/>
                <w:szCs w:val="20"/>
              </w:rPr>
              <w:t xml:space="preserve">Qui sont les enfants qui en bénéficient et n’y a-t-il pas de discrimination sur le genre </w:t>
            </w:r>
            <w:r w:rsidR="003B309F">
              <w:rPr>
                <w:sz w:val="20"/>
                <w:szCs w:val="20"/>
              </w:rPr>
              <w:t>(</w:t>
            </w:r>
            <w:r w:rsidRPr="00162F97">
              <w:rPr>
                <w:sz w:val="20"/>
                <w:szCs w:val="20"/>
              </w:rPr>
              <w:t>ou les orientations sexuelles, l’origine sociale, ethnique ou religieuse par exemple</w:t>
            </w:r>
            <w:r w:rsidR="003B309F">
              <w:rPr>
                <w:sz w:val="20"/>
                <w:szCs w:val="20"/>
              </w:rPr>
              <w:t>)</w:t>
            </w:r>
            <w:r w:rsidRPr="00162F97">
              <w:rPr>
                <w:sz w:val="20"/>
                <w:szCs w:val="20"/>
              </w:rPr>
              <w:t> ?</w:t>
            </w:r>
            <w:r w:rsidR="00BE7857" w:rsidRPr="00162F97">
              <w:rPr>
                <w:sz w:val="20"/>
                <w:szCs w:val="20"/>
              </w:rPr>
              <w:t xml:space="preserve"> </w:t>
            </w:r>
          </w:p>
          <w:p w:rsidR="00D65174" w:rsidRDefault="0093089B" w:rsidP="00D65174">
            <w:pPr>
              <w:pStyle w:val="Paragraphedeliste"/>
              <w:numPr>
                <w:ilvl w:val="0"/>
                <w:numId w:val="9"/>
              </w:numPr>
              <w:spacing w:after="120" w:line="240" w:lineRule="auto"/>
              <w:jc w:val="both"/>
              <w:rPr>
                <w:sz w:val="20"/>
                <w:szCs w:val="20"/>
              </w:rPr>
            </w:pPr>
            <w:r w:rsidRPr="00162F97">
              <w:rPr>
                <w:sz w:val="20"/>
                <w:szCs w:val="20"/>
              </w:rPr>
              <w:t xml:space="preserve">Il y a-t-il eu des violations flagrantes des droits de l’enfant en lien avec le mécanisme mesuré ? </w:t>
            </w:r>
          </w:p>
          <w:p w:rsidR="00D65174" w:rsidRPr="00D65174" w:rsidRDefault="00D65174" w:rsidP="00D65174">
            <w:pPr>
              <w:pStyle w:val="Paragraphedeliste"/>
              <w:numPr>
                <w:ilvl w:val="0"/>
                <w:numId w:val="9"/>
              </w:numPr>
              <w:spacing w:after="120" w:line="240" w:lineRule="auto"/>
              <w:jc w:val="both"/>
              <w:rPr>
                <w:sz w:val="20"/>
                <w:szCs w:val="20"/>
              </w:rPr>
            </w:pPr>
            <w:r>
              <w:rPr>
                <w:sz w:val="20"/>
                <w:szCs w:val="20"/>
              </w:rPr>
              <w:lastRenderedPageBreak/>
              <w:t>Analyser les types de</w:t>
            </w:r>
            <w:r w:rsidRPr="00D65174">
              <w:rPr>
                <w:sz w:val="20"/>
                <w:szCs w:val="20"/>
              </w:rPr>
              <w:t xml:space="preserve"> mécanisme</w:t>
            </w:r>
            <w:r>
              <w:rPr>
                <w:sz w:val="20"/>
                <w:szCs w:val="20"/>
              </w:rPr>
              <w:t>s</w:t>
            </w:r>
            <w:r w:rsidRPr="00D65174">
              <w:rPr>
                <w:sz w:val="20"/>
                <w:szCs w:val="20"/>
              </w:rPr>
              <w:t xml:space="preserve"> d’alternative à la détention provisoire </w:t>
            </w:r>
            <w:r>
              <w:rPr>
                <w:sz w:val="20"/>
                <w:szCs w:val="20"/>
              </w:rPr>
              <w:t>privilégiés dans un contexte</w:t>
            </w:r>
          </w:p>
          <w:p w:rsidR="00D65174" w:rsidRPr="00162F97" w:rsidRDefault="00D65174" w:rsidP="00D65174">
            <w:pPr>
              <w:pStyle w:val="Paragraphedeliste"/>
              <w:spacing w:after="120" w:line="240" w:lineRule="auto"/>
              <w:jc w:val="both"/>
              <w:rPr>
                <w:sz w:val="20"/>
                <w:szCs w:val="20"/>
              </w:rPr>
            </w:pPr>
          </w:p>
          <w:p w:rsidR="00C12824" w:rsidRPr="00C97A9E" w:rsidRDefault="00054966" w:rsidP="00C97A9E">
            <w:pPr>
              <w:spacing w:after="120" w:line="240" w:lineRule="auto"/>
              <w:jc w:val="both"/>
              <w:rPr>
                <w:sz w:val="20"/>
                <w:szCs w:val="20"/>
              </w:rPr>
            </w:pPr>
            <w:r w:rsidRPr="00162F97">
              <w:rPr>
                <w:sz w:val="20"/>
                <w:szCs w:val="20"/>
              </w:rPr>
              <w:t xml:space="preserve">Mener ce type d’analyse sera </w:t>
            </w:r>
            <w:r w:rsidRPr="00C97A9E">
              <w:rPr>
                <w:sz w:val="20"/>
                <w:szCs w:val="20"/>
              </w:rPr>
              <w:t>conditionnée par</w:t>
            </w:r>
            <w:r w:rsidR="00BE7857" w:rsidRPr="00C97A9E">
              <w:rPr>
                <w:sz w:val="20"/>
                <w:szCs w:val="20"/>
              </w:rPr>
              <w:t xml:space="preserve">  une présence fréquente et une observation minutieuse des cas et de la façon dont le parquet prend ses décisions.</w:t>
            </w:r>
          </w:p>
          <w:p w:rsidR="00A40F63" w:rsidRPr="00162F97" w:rsidRDefault="00A40F63" w:rsidP="00C12824">
            <w:pPr>
              <w:spacing w:after="120" w:line="240" w:lineRule="auto"/>
              <w:contextualSpacing/>
              <w:jc w:val="both"/>
              <w:rPr>
                <w:sz w:val="20"/>
                <w:szCs w:val="20"/>
              </w:rPr>
            </w:pPr>
          </w:p>
          <w:p w:rsidR="00C12824" w:rsidRPr="00162F97" w:rsidRDefault="00C12824" w:rsidP="00C12824">
            <w:pPr>
              <w:spacing w:after="120" w:line="240" w:lineRule="auto"/>
              <w:contextualSpacing/>
              <w:jc w:val="both"/>
              <w:rPr>
                <w:sz w:val="20"/>
                <w:szCs w:val="20"/>
              </w:rPr>
            </w:pPr>
            <w:r w:rsidRPr="00162F97">
              <w:rPr>
                <w:sz w:val="20"/>
                <w:szCs w:val="20"/>
                <w:u w:val="single"/>
              </w:rPr>
              <w:t>Pour aller plus loin</w:t>
            </w:r>
            <w:r w:rsidRPr="00162F97">
              <w:rPr>
                <w:sz w:val="20"/>
                <w:szCs w:val="20"/>
              </w:rPr>
              <w:t> : la faiblesse de l’indicateur est de ne pas pouvoir être confronté au nombre total d’enfants qui ont été arrêtés</w:t>
            </w:r>
            <w:r w:rsidR="00BE7857" w:rsidRPr="00162F97">
              <w:rPr>
                <w:sz w:val="20"/>
                <w:szCs w:val="20"/>
              </w:rPr>
              <w:t xml:space="preserve"> sur la base d’une infraction pénale</w:t>
            </w:r>
            <w:r w:rsidRPr="00162F97">
              <w:rPr>
                <w:sz w:val="20"/>
                <w:szCs w:val="20"/>
              </w:rPr>
              <w:t xml:space="preserve">. </w:t>
            </w:r>
            <w:r w:rsidR="00C74C29" w:rsidRPr="00162F97">
              <w:rPr>
                <w:b/>
                <w:sz w:val="20"/>
                <w:szCs w:val="20"/>
              </w:rPr>
              <w:t>Dans la mesure du possible, il faudrait donc</w:t>
            </w:r>
            <w:r w:rsidR="00C74C29" w:rsidRPr="00162F97" w:rsidDel="00C74C29">
              <w:rPr>
                <w:b/>
                <w:sz w:val="20"/>
                <w:szCs w:val="20"/>
              </w:rPr>
              <w:t xml:space="preserve"> </w:t>
            </w:r>
            <w:r w:rsidRPr="00162F97">
              <w:rPr>
                <w:sz w:val="20"/>
                <w:szCs w:val="20"/>
              </w:rPr>
              <w:t>fournir également le nombre d’enfants suspectés d’infractions à la loi pénale et de calculer le taux d’enfants ayant bénéficié de mesure alternative à la détention provisoire en plus du nombre d’enfants ayant bénéficié d’alternative à la détention provisoire.</w:t>
            </w:r>
          </w:p>
          <w:p w:rsidR="00A72FCF" w:rsidRPr="00162F97" w:rsidRDefault="00A72FCF" w:rsidP="00A72FCF">
            <w:pPr>
              <w:spacing w:after="120" w:line="240" w:lineRule="auto"/>
              <w:contextualSpacing/>
              <w:jc w:val="both"/>
              <w:rPr>
                <w:sz w:val="20"/>
                <w:szCs w:val="20"/>
              </w:rPr>
            </w:pPr>
          </w:p>
        </w:tc>
      </w:tr>
      <w:tr w:rsidR="00A72FCF" w:rsidRPr="009926E5" w:rsidTr="00D144B3">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72FCF" w:rsidRPr="009926E5" w:rsidRDefault="00A72FCF" w:rsidP="00A72FCF">
            <w:pPr>
              <w:spacing w:after="120" w:line="240" w:lineRule="auto"/>
              <w:contextualSpacing/>
              <w:jc w:val="both"/>
              <w:rPr>
                <w:b/>
                <w:bCs/>
                <w:lang w:val="fr-CH"/>
              </w:rPr>
            </w:pPr>
            <w:r w:rsidRPr="009926E5">
              <w:rPr>
                <w:b/>
                <w:bCs/>
                <w:lang w:val="fr-CH"/>
              </w:rPr>
              <w:lastRenderedPageBreak/>
              <w:t>Res</w:t>
            </w:r>
            <w:r w:rsidR="00927030">
              <w:rPr>
                <w:b/>
                <w:bCs/>
                <w:lang w:val="fr-CH"/>
              </w:rPr>
              <w:t>s</w:t>
            </w:r>
            <w:r w:rsidRPr="009926E5">
              <w:rPr>
                <w:b/>
                <w:bCs/>
                <w:lang w:val="fr-CH"/>
              </w:rPr>
              <w:t xml:space="preserve">ources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A72FCF" w:rsidRPr="00162F97" w:rsidRDefault="00A72FCF" w:rsidP="00A72FCF">
            <w:pPr>
              <w:spacing w:after="120" w:line="240" w:lineRule="auto"/>
              <w:contextualSpacing/>
              <w:jc w:val="both"/>
              <w:rPr>
                <w:sz w:val="20"/>
                <w:szCs w:val="20"/>
              </w:rPr>
            </w:pPr>
            <w:r w:rsidRPr="00162F97">
              <w:rPr>
                <w:sz w:val="20"/>
                <w:szCs w:val="20"/>
              </w:rPr>
              <w:t>Un temps de travail dédié à la collecte et l’analyse de l’information de 1 à 2 jours par mois sont à prévoir.</w:t>
            </w:r>
          </w:p>
        </w:tc>
      </w:tr>
    </w:tbl>
    <w:p w:rsidR="00A72FCF" w:rsidRDefault="00A72FCF" w:rsidP="00AE53D2">
      <w:pPr>
        <w:spacing w:after="120" w:line="240" w:lineRule="auto"/>
        <w:contextualSpacing/>
        <w:jc w:val="both"/>
      </w:pPr>
    </w:p>
    <w:sectPr w:rsidR="00A72FCF" w:rsidSect="00AE53D2">
      <w:headerReference w:type="default" r:id="rId10"/>
      <w:footerReference w:type="default" r:id="rId11"/>
      <w:pgSz w:w="11906" w:h="16838" w:code="9"/>
      <w:pgMar w:top="1418" w:right="1418" w:bottom="1418" w:left="1418" w:header="567"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5D" w:rsidRDefault="00551A5D" w:rsidP="00AE53D2">
      <w:pPr>
        <w:spacing w:after="0" w:line="240" w:lineRule="auto"/>
      </w:pPr>
      <w:r>
        <w:separator/>
      </w:r>
    </w:p>
  </w:endnote>
  <w:endnote w:type="continuationSeparator" w:id="0">
    <w:p w:rsidR="00551A5D" w:rsidRDefault="00551A5D" w:rsidP="00AE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38239"/>
      <w:docPartObj>
        <w:docPartGallery w:val="Page Numbers (Bottom of Page)"/>
        <w:docPartUnique/>
      </w:docPartObj>
    </w:sdtPr>
    <w:sdtEndPr>
      <w:rPr>
        <w:noProof/>
      </w:rPr>
    </w:sdtEndPr>
    <w:sdtContent>
      <w:p w:rsidR="00AE53D2" w:rsidRDefault="00AE53D2" w:rsidP="00AE53D2">
        <w:pPr>
          <w:pStyle w:val="Pieddepage"/>
          <w:pBdr>
            <w:top w:val="single" w:sz="4" w:space="13" w:color="auto"/>
          </w:pBdr>
          <w:jc w:val="right"/>
        </w:pPr>
        <w:r>
          <w:fldChar w:fldCharType="begin"/>
        </w:r>
        <w:r>
          <w:instrText xml:space="preserve"> PAGE   \* MERGEFORMAT </w:instrText>
        </w:r>
        <w:r>
          <w:fldChar w:fldCharType="separate"/>
        </w:r>
        <w:r w:rsidR="00AD1D92">
          <w:rPr>
            <w:noProof/>
          </w:rPr>
          <w:t>1</w:t>
        </w:r>
        <w:r>
          <w:rPr>
            <w:noProof/>
          </w:rPr>
          <w:fldChar w:fldCharType="end"/>
        </w:r>
        <w:r>
          <w:rPr>
            <w:noProof/>
          </w:rPr>
          <w:t xml:space="preserve"> / </w:t>
        </w:r>
        <w:r>
          <w:rPr>
            <w:noProof/>
          </w:rPr>
          <w:fldChar w:fldCharType="begin"/>
        </w:r>
        <w:r>
          <w:rPr>
            <w:noProof/>
          </w:rPr>
          <w:instrText xml:space="preserve"> SECTIONPAGES   \* MERGEFORMAT </w:instrText>
        </w:r>
        <w:r>
          <w:rPr>
            <w:noProof/>
          </w:rPr>
          <w:fldChar w:fldCharType="separate"/>
        </w:r>
        <w:r w:rsidR="00AD1D92">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5D" w:rsidRDefault="00551A5D" w:rsidP="00AE53D2">
      <w:pPr>
        <w:spacing w:after="0" w:line="240" w:lineRule="auto"/>
      </w:pPr>
      <w:r>
        <w:separator/>
      </w:r>
    </w:p>
  </w:footnote>
  <w:footnote w:type="continuationSeparator" w:id="0">
    <w:p w:rsidR="00551A5D" w:rsidRDefault="00551A5D" w:rsidP="00AE53D2">
      <w:pPr>
        <w:spacing w:after="0" w:line="240" w:lineRule="auto"/>
      </w:pPr>
      <w:r>
        <w:continuationSeparator/>
      </w:r>
    </w:p>
  </w:footnote>
  <w:footnote w:id="1">
    <w:p w:rsidR="00F10CF9" w:rsidRDefault="00F10CF9" w:rsidP="00F10CF9">
      <w:pPr>
        <w:pStyle w:val="Notedebasdepage"/>
      </w:pPr>
      <w:r>
        <w:rPr>
          <w:rStyle w:val="Appelnotedebasdep"/>
        </w:rPr>
        <w:footnoteRef/>
      </w:r>
      <w:r>
        <w:t xml:space="preserve"> </w:t>
      </w:r>
      <w:r w:rsidRPr="0035017A">
        <w:t xml:space="preserve">Dans les pays d’intervention en </w:t>
      </w:r>
      <w:r w:rsidRPr="00B45E1A">
        <w:rPr>
          <w:b/>
        </w:rPr>
        <w:t>Amérique centrale</w:t>
      </w:r>
      <w:r w:rsidR="00AD1D92">
        <w:t> : Panama,</w:t>
      </w:r>
      <w:r w:rsidRPr="0035017A">
        <w:t xml:space="preserve"> Nicaragua</w:t>
      </w:r>
      <w:r w:rsidR="00AD1D92">
        <w:t>, Honduras, Guatemala et le Salvador</w:t>
      </w:r>
      <w:r w:rsidRPr="0035017A">
        <w:t xml:space="preserve">, </w:t>
      </w:r>
      <w:r w:rsidRPr="00B45E1A">
        <w:rPr>
          <w:b/>
        </w:rPr>
        <w:t>Amérique du Sud</w:t>
      </w:r>
      <w:r w:rsidRPr="0035017A">
        <w:t xml:space="preserve"> : Colombie, Equateur, Pérou, Brésil</w:t>
      </w:r>
      <w:r w:rsidR="00AD1D92">
        <w:t>, Bolivie et Paraguay</w:t>
      </w:r>
      <w:r w:rsidRPr="0035017A">
        <w:t xml:space="preserve"> ; </w:t>
      </w:r>
      <w:r w:rsidRPr="00B45E1A">
        <w:rPr>
          <w:b/>
        </w:rPr>
        <w:t>Caraïbes</w:t>
      </w:r>
      <w:r w:rsidRPr="0035017A">
        <w:t> : Haïti.</w:t>
      </w:r>
      <w:bookmarkStart w:id="0" w:name="_GoBack"/>
      <w:bookmarkEnd w:id="0"/>
    </w:p>
  </w:footnote>
  <w:footnote w:id="2">
    <w:p w:rsidR="00F10CF9" w:rsidRDefault="00F10CF9" w:rsidP="00F10CF9">
      <w:pPr>
        <w:pStyle w:val="Notedebasdepage"/>
      </w:pPr>
      <w:r>
        <w:rPr>
          <w:rStyle w:val="Appelnotedebasdep"/>
        </w:rPr>
        <w:footnoteRef/>
      </w:r>
      <w:r>
        <w:t xml:space="preserve"> </w:t>
      </w:r>
      <w:r w:rsidRPr="008B2B8E">
        <w:t>Dans les pays d’intervention : Bénin, Burkina Faso, Burundi, Mauritanie, Mali, Guinée Conakry.</w:t>
      </w:r>
    </w:p>
  </w:footnote>
  <w:footnote w:id="3">
    <w:p w:rsidR="00F10CF9" w:rsidRDefault="00F10CF9" w:rsidP="00F10CF9">
      <w:pPr>
        <w:pStyle w:val="Notedebasdepage"/>
      </w:pPr>
      <w:r>
        <w:rPr>
          <w:rStyle w:val="Appelnotedebasdep"/>
        </w:rPr>
        <w:footnoteRef/>
      </w:r>
      <w:r>
        <w:t xml:space="preserve"> </w:t>
      </w:r>
      <w:r w:rsidRPr="008B2B8E">
        <w:t>Dans les pays d’intervention : Jordanie, Palestine, Egypte, Afghanistan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48" w:rsidRDefault="00AE53D2" w:rsidP="00855248">
    <w:pPr>
      <w:pStyle w:val="En-tte"/>
    </w:pPr>
    <w:r>
      <w:rPr>
        <w:noProof/>
        <w:lang w:val="fr-CH" w:eastAsia="fr-CH"/>
      </w:rPr>
      <w:drawing>
        <wp:inline distT="0" distB="0" distL="0" distR="0" wp14:anchorId="7665D2EE" wp14:editId="3B59FC88">
          <wp:extent cx="1599582" cy="2762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H_neutral_cmyk_C_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426" cy="279652"/>
                  </a:xfrm>
                  <a:prstGeom prst="rect">
                    <a:avLst/>
                  </a:prstGeom>
                </pic:spPr>
              </pic:pic>
            </a:graphicData>
          </a:graphic>
        </wp:inline>
      </w:drawing>
    </w:r>
    <w:r w:rsidR="00855248">
      <w:tab/>
    </w:r>
    <w:r w:rsidR="00855248">
      <w:tab/>
    </w:r>
    <w:r w:rsidR="00855248" w:rsidRPr="001B12B9">
      <w:rPr>
        <w:sz w:val="18"/>
        <w:szCs w:val="18"/>
      </w:rPr>
      <w:t>15/05/2017</w:t>
    </w:r>
  </w:p>
  <w:p w:rsidR="00AE53D2" w:rsidRDefault="00AE53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4547"/>
    <w:multiLevelType w:val="hybridMultilevel"/>
    <w:tmpl w:val="803880EC"/>
    <w:lvl w:ilvl="0" w:tplc="80EA2A34">
      <w:start w:val="1"/>
      <w:numFmt w:val="bullet"/>
      <w:lvlText w:val="-"/>
      <w:lvlJc w:val="left"/>
      <w:pPr>
        <w:ind w:left="720" w:hanging="360"/>
      </w:pPr>
      <w:rPr>
        <w:rFonts w:ascii="Calibri" w:eastAsiaTheme="minorHAnsi" w:hAnsi="Calibri" w:cstheme="minorBidi"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9085310"/>
    <w:multiLevelType w:val="hybridMultilevel"/>
    <w:tmpl w:val="78F81FE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43DD47D2"/>
    <w:multiLevelType w:val="hybridMultilevel"/>
    <w:tmpl w:val="BEA2E882"/>
    <w:lvl w:ilvl="0" w:tplc="CE62270C">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FA659D3"/>
    <w:multiLevelType w:val="hybridMultilevel"/>
    <w:tmpl w:val="6ED43692"/>
    <w:lvl w:ilvl="0" w:tplc="B5C827FC">
      <w:numFmt w:val="bullet"/>
      <w:lvlText w:val="-"/>
      <w:lvlJc w:val="left"/>
      <w:pPr>
        <w:ind w:left="765" w:hanging="360"/>
      </w:pPr>
      <w:rPr>
        <w:rFonts w:ascii="Calibri" w:eastAsiaTheme="minorHAnsi" w:hAnsi="Calibri" w:cstheme="minorBidi"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4">
    <w:nsid w:val="5CA44D77"/>
    <w:multiLevelType w:val="hybridMultilevel"/>
    <w:tmpl w:val="638A41A2"/>
    <w:lvl w:ilvl="0" w:tplc="B5C827FC">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5F395275"/>
    <w:multiLevelType w:val="hybridMultilevel"/>
    <w:tmpl w:val="53122F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71244135"/>
    <w:multiLevelType w:val="hybridMultilevel"/>
    <w:tmpl w:val="ADC850C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755217CD"/>
    <w:multiLevelType w:val="hybridMultilevel"/>
    <w:tmpl w:val="AE5C867C"/>
    <w:lvl w:ilvl="0" w:tplc="B76E66B6">
      <w:start w:val="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7AF30DA6"/>
    <w:multiLevelType w:val="hybridMultilevel"/>
    <w:tmpl w:val="C272313A"/>
    <w:lvl w:ilvl="0" w:tplc="A9B29140">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7B8915F9"/>
    <w:multiLevelType w:val="hybridMultilevel"/>
    <w:tmpl w:val="0D70DB30"/>
    <w:lvl w:ilvl="0" w:tplc="C0D8956E">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7C187C2B"/>
    <w:multiLevelType w:val="multilevel"/>
    <w:tmpl w:val="81A03A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7DCB384F"/>
    <w:multiLevelType w:val="hybridMultilevel"/>
    <w:tmpl w:val="78F81FE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4"/>
  </w:num>
  <w:num w:numId="5">
    <w:abstractNumId w:val="3"/>
  </w:num>
  <w:num w:numId="6">
    <w:abstractNumId w:val="8"/>
  </w:num>
  <w:num w:numId="7">
    <w:abstractNumId w:val="6"/>
  </w:num>
  <w:num w:numId="8">
    <w:abstractNumId w:val="5"/>
  </w:num>
  <w:num w:numId="9">
    <w:abstractNumId w:val="2"/>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BF"/>
    <w:rsid w:val="00015AAF"/>
    <w:rsid w:val="00023BFA"/>
    <w:rsid w:val="000377C3"/>
    <w:rsid w:val="0004563B"/>
    <w:rsid w:val="000505AE"/>
    <w:rsid w:val="00052773"/>
    <w:rsid w:val="00054966"/>
    <w:rsid w:val="00056479"/>
    <w:rsid w:val="000870F9"/>
    <w:rsid w:val="000D7321"/>
    <w:rsid w:val="000F28F8"/>
    <w:rsid w:val="001103E4"/>
    <w:rsid w:val="00123FCD"/>
    <w:rsid w:val="00142070"/>
    <w:rsid w:val="00152210"/>
    <w:rsid w:val="00162F97"/>
    <w:rsid w:val="00164FDE"/>
    <w:rsid w:val="00167B43"/>
    <w:rsid w:val="00171DBD"/>
    <w:rsid w:val="001A3A69"/>
    <w:rsid w:val="001B1BB4"/>
    <w:rsid w:val="001B4579"/>
    <w:rsid w:val="001C659C"/>
    <w:rsid w:val="001F3F08"/>
    <w:rsid w:val="002132E1"/>
    <w:rsid w:val="002255B5"/>
    <w:rsid w:val="002458EF"/>
    <w:rsid w:val="002654C4"/>
    <w:rsid w:val="002655C6"/>
    <w:rsid w:val="002916A5"/>
    <w:rsid w:val="002A463B"/>
    <w:rsid w:val="002B0011"/>
    <w:rsid w:val="002D007F"/>
    <w:rsid w:val="00311D2C"/>
    <w:rsid w:val="0031264A"/>
    <w:rsid w:val="003448BE"/>
    <w:rsid w:val="003729E2"/>
    <w:rsid w:val="003B309F"/>
    <w:rsid w:val="003B406A"/>
    <w:rsid w:val="003B7665"/>
    <w:rsid w:val="003E3C8D"/>
    <w:rsid w:val="003E6570"/>
    <w:rsid w:val="004074DD"/>
    <w:rsid w:val="0042336F"/>
    <w:rsid w:val="00427B8B"/>
    <w:rsid w:val="004317A8"/>
    <w:rsid w:val="00451D6E"/>
    <w:rsid w:val="004617F8"/>
    <w:rsid w:val="00470E61"/>
    <w:rsid w:val="00497F7F"/>
    <w:rsid w:val="004A6876"/>
    <w:rsid w:val="004B010E"/>
    <w:rsid w:val="004B60E9"/>
    <w:rsid w:val="004B7EAC"/>
    <w:rsid w:val="004D4EB3"/>
    <w:rsid w:val="004D7334"/>
    <w:rsid w:val="004F43AA"/>
    <w:rsid w:val="00514187"/>
    <w:rsid w:val="00524542"/>
    <w:rsid w:val="00526CD8"/>
    <w:rsid w:val="005479D9"/>
    <w:rsid w:val="00551A5D"/>
    <w:rsid w:val="0056202C"/>
    <w:rsid w:val="005636D7"/>
    <w:rsid w:val="00592848"/>
    <w:rsid w:val="005C43B5"/>
    <w:rsid w:val="005C5EED"/>
    <w:rsid w:val="005C64D2"/>
    <w:rsid w:val="005D2421"/>
    <w:rsid w:val="005E00E2"/>
    <w:rsid w:val="005E4E1C"/>
    <w:rsid w:val="005E6AE7"/>
    <w:rsid w:val="0060323B"/>
    <w:rsid w:val="00614B53"/>
    <w:rsid w:val="00630B98"/>
    <w:rsid w:val="00631F8C"/>
    <w:rsid w:val="00634F8F"/>
    <w:rsid w:val="00641A8A"/>
    <w:rsid w:val="006556DC"/>
    <w:rsid w:val="00657487"/>
    <w:rsid w:val="0066509D"/>
    <w:rsid w:val="00673C26"/>
    <w:rsid w:val="006856D0"/>
    <w:rsid w:val="006927C9"/>
    <w:rsid w:val="006D3510"/>
    <w:rsid w:val="006D6C3E"/>
    <w:rsid w:val="006E5683"/>
    <w:rsid w:val="007018B7"/>
    <w:rsid w:val="00725FBF"/>
    <w:rsid w:val="00732CEB"/>
    <w:rsid w:val="007470AF"/>
    <w:rsid w:val="007573AD"/>
    <w:rsid w:val="007666B5"/>
    <w:rsid w:val="00787461"/>
    <w:rsid w:val="00787D9D"/>
    <w:rsid w:val="007A14A7"/>
    <w:rsid w:val="007A523F"/>
    <w:rsid w:val="007C5A6C"/>
    <w:rsid w:val="007C6881"/>
    <w:rsid w:val="007F5AD1"/>
    <w:rsid w:val="007F6341"/>
    <w:rsid w:val="0080538C"/>
    <w:rsid w:val="00814253"/>
    <w:rsid w:val="00843AB8"/>
    <w:rsid w:val="00852F9E"/>
    <w:rsid w:val="0085300E"/>
    <w:rsid w:val="00854928"/>
    <w:rsid w:val="00855248"/>
    <w:rsid w:val="00857D46"/>
    <w:rsid w:val="0086140E"/>
    <w:rsid w:val="00864C34"/>
    <w:rsid w:val="00864D93"/>
    <w:rsid w:val="00876A80"/>
    <w:rsid w:val="008D351E"/>
    <w:rsid w:val="008D5890"/>
    <w:rsid w:val="008D5C35"/>
    <w:rsid w:val="009032FF"/>
    <w:rsid w:val="00903688"/>
    <w:rsid w:val="009138C1"/>
    <w:rsid w:val="009252B1"/>
    <w:rsid w:val="00927030"/>
    <w:rsid w:val="00927E6A"/>
    <w:rsid w:val="0093089B"/>
    <w:rsid w:val="009373F9"/>
    <w:rsid w:val="009440CD"/>
    <w:rsid w:val="00945B8B"/>
    <w:rsid w:val="0097162F"/>
    <w:rsid w:val="00984A31"/>
    <w:rsid w:val="009926E5"/>
    <w:rsid w:val="009B4DD1"/>
    <w:rsid w:val="009F0E67"/>
    <w:rsid w:val="00A039D9"/>
    <w:rsid w:val="00A364C6"/>
    <w:rsid w:val="00A37B6B"/>
    <w:rsid w:val="00A40B6E"/>
    <w:rsid w:val="00A40F63"/>
    <w:rsid w:val="00A72FCF"/>
    <w:rsid w:val="00A74E7E"/>
    <w:rsid w:val="00A803E1"/>
    <w:rsid w:val="00A81DD3"/>
    <w:rsid w:val="00A8405F"/>
    <w:rsid w:val="00A93456"/>
    <w:rsid w:val="00AB40C0"/>
    <w:rsid w:val="00AD1D92"/>
    <w:rsid w:val="00AE53D2"/>
    <w:rsid w:val="00AF1307"/>
    <w:rsid w:val="00AF5990"/>
    <w:rsid w:val="00AF6E94"/>
    <w:rsid w:val="00B1094E"/>
    <w:rsid w:val="00B16EA1"/>
    <w:rsid w:val="00B239E1"/>
    <w:rsid w:val="00B539DC"/>
    <w:rsid w:val="00B67AE4"/>
    <w:rsid w:val="00B77995"/>
    <w:rsid w:val="00B83B6E"/>
    <w:rsid w:val="00BE7857"/>
    <w:rsid w:val="00BF4630"/>
    <w:rsid w:val="00C0697E"/>
    <w:rsid w:val="00C12824"/>
    <w:rsid w:val="00C50388"/>
    <w:rsid w:val="00C55D08"/>
    <w:rsid w:val="00C64322"/>
    <w:rsid w:val="00C67064"/>
    <w:rsid w:val="00C747C3"/>
    <w:rsid w:val="00C74C29"/>
    <w:rsid w:val="00C969F4"/>
    <w:rsid w:val="00C97A9E"/>
    <w:rsid w:val="00CB74F6"/>
    <w:rsid w:val="00CD407E"/>
    <w:rsid w:val="00D15E1A"/>
    <w:rsid w:val="00D60A57"/>
    <w:rsid w:val="00D614AC"/>
    <w:rsid w:val="00D65174"/>
    <w:rsid w:val="00D772E7"/>
    <w:rsid w:val="00D81DD6"/>
    <w:rsid w:val="00DA45E8"/>
    <w:rsid w:val="00E31B55"/>
    <w:rsid w:val="00E6180F"/>
    <w:rsid w:val="00E73B06"/>
    <w:rsid w:val="00E907AB"/>
    <w:rsid w:val="00EB10DB"/>
    <w:rsid w:val="00EB71E0"/>
    <w:rsid w:val="00EC598E"/>
    <w:rsid w:val="00EE5752"/>
    <w:rsid w:val="00EF1222"/>
    <w:rsid w:val="00F10CF9"/>
    <w:rsid w:val="00F14858"/>
    <w:rsid w:val="00F24645"/>
    <w:rsid w:val="00F848F6"/>
    <w:rsid w:val="00F8647F"/>
    <w:rsid w:val="00FB5BA3"/>
    <w:rsid w:val="00FB6001"/>
    <w:rsid w:val="00FE18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3D2"/>
    <w:pPr>
      <w:tabs>
        <w:tab w:val="center" w:pos="4536"/>
        <w:tab w:val="right" w:pos="9072"/>
      </w:tabs>
      <w:spacing w:after="0" w:line="240" w:lineRule="auto"/>
    </w:pPr>
  </w:style>
  <w:style w:type="character" w:customStyle="1" w:styleId="En-tteCar">
    <w:name w:val="En-tête Car"/>
    <w:basedOn w:val="Policepardfaut"/>
    <w:link w:val="En-tte"/>
    <w:uiPriority w:val="99"/>
    <w:rsid w:val="00AE53D2"/>
    <w:rPr>
      <w:lang w:val="fr-FR"/>
    </w:rPr>
  </w:style>
  <w:style w:type="paragraph" w:styleId="Pieddepage">
    <w:name w:val="footer"/>
    <w:basedOn w:val="Normal"/>
    <w:link w:val="PieddepageCar"/>
    <w:uiPriority w:val="99"/>
    <w:unhideWhenUsed/>
    <w:rsid w:val="00AE53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53D2"/>
    <w:rPr>
      <w:lang w:val="fr-FR"/>
    </w:rPr>
  </w:style>
  <w:style w:type="paragraph" w:styleId="Textedebulles">
    <w:name w:val="Balloon Text"/>
    <w:basedOn w:val="Normal"/>
    <w:link w:val="TextedebullesCar"/>
    <w:uiPriority w:val="99"/>
    <w:semiHidden/>
    <w:unhideWhenUsed/>
    <w:rsid w:val="00AE53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53D2"/>
    <w:rPr>
      <w:rFonts w:ascii="Tahoma" w:hAnsi="Tahoma" w:cs="Tahoma"/>
      <w:sz w:val="16"/>
      <w:szCs w:val="16"/>
      <w:lang w:val="fr-FR"/>
    </w:rPr>
  </w:style>
  <w:style w:type="paragraph" w:styleId="Paragraphedeliste">
    <w:name w:val="List Paragraph"/>
    <w:basedOn w:val="Normal"/>
    <w:uiPriority w:val="34"/>
    <w:qFormat/>
    <w:rsid w:val="0097162F"/>
    <w:pPr>
      <w:ind w:left="720"/>
      <w:contextualSpacing/>
    </w:pPr>
  </w:style>
  <w:style w:type="character" w:styleId="Marquedecommentaire">
    <w:name w:val="annotation reference"/>
    <w:basedOn w:val="Policepardfaut"/>
    <w:uiPriority w:val="99"/>
    <w:semiHidden/>
    <w:unhideWhenUsed/>
    <w:rsid w:val="008D351E"/>
    <w:rPr>
      <w:sz w:val="16"/>
      <w:szCs w:val="16"/>
    </w:rPr>
  </w:style>
  <w:style w:type="paragraph" w:styleId="Commentaire">
    <w:name w:val="annotation text"/>
    <w:basedOn w:val="Normal"/>
    <w:link w:val="CommentaireCar"/>
    <w:uiPriority w:val="99"/>
    <w:semiHidden/>
    <w:unhideWhenUsed/>
    <w:rsid w:val="008D351E"/>
    <w:pPr>
      <w:spacing w:line="240" w:lineRule="auto"/>
    </w:pPr>
    <w:rPr>
      <w:sz w:val="20"/>
      <w:szCs w:val="20"/>
    </w:rPr>
  </w:style>
  <w:style w:type="character" w:customStyle="1" w:styleId="CommentaireCar">
    <w:name w:val="Commentaire Car"/>
    <w:basedOn w:val="Policepardfaut"/>
    <w:link w:val="Commentaire"/>
    <w:uiPriority w:val="99"/>
    <w:semiHidden/>
    <w:rsid w:val="008D351E"/>
    <w:rPr>
      <w:sz w:val="20"/>
      <w:szCs w:val="20"/>
      <w:lang w:val="fr-FR"/>
    </w:rPr>
  </w:style>
  <w:style w:type="paragraph" w:styleId="Objetducommentaire">
    <w:name w:val="annotation subject"/>
    <w:basedOn w:val="Commentaire"/>
    <w:next w:val="Commentaire"/>
    <w:link w:val="ObjetducommentaireCar"/>
    <w:uiPriority w:val="99"/>
    <w:semiHidden/>
    <w:unhideWhenUsed/>
    <w:rsid w:val="008D351E"/>
    <w:rPr>
      <w:b/>
      <w:bCs/>
    </w:rPr>
  </w:style>
  <w:style w:type="character" w:customStyle="1" w:styleId="ObjetducommentaireCar">
    <w:name w:val="Objet du commentaire Car"/>
    <w:basedOn w:val="CommentaireCar"/>
    <w:link w:val="Objetducommentaire"/>
    <w:uiPriority w:val="99"/>
    <w:semiHidden/>
    <w:rsid w:val="008D351E"/>
    <w:rPr>
      <w:b/>
      <w:bCs/>
      <w:sz w:val="20"/>
      <w:szCs w:val="20"/>
      <w:lang w:val="fr-FR"/>
    </w:rPr>
  </w:style>
  <w:style w:type="paragraph" w:styleId="Notedebasdepage">
    <w:name w:val="footnote text"/>
    <w:basedOn w:val="Normal"/>
    <w:link w:val="NotedebasdepageCar"/>
    <w:uiPriority w:val="99"/>
    <w:semiHidden/>
    <w:unhideWhenUsed/>
    <w:rsid w:val="00C670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7064"/>
    <w:rPr>
      <w:sz w:val="20"/>
      <w:szCs w:val="20"/>
      <w:lang w:val="fr-FR"/>
    </w:rPr>
  </w:style>
  <w:style w:type="character" w:styleId="Appelnotedebasdep">
    <w:name w:val="footnote reference"/>
    <w:basedOn w:val="Policepardfaut"/>
    <w:uiPriority w:val="99"/>
    <w:semiHidden/>
    <w:unhideWhenUsed/>
    <w:rsid w:val="00C670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3D2"/>
    <w:pPr>
      <w:tabs>
        <w:tab w:val="center" w:pos="4536"/>
        <w:tab w:val="right" w:pos="9072"/>
      </w:tabs>
      <w:spacing w:after="0" w:line="240" w:lineRule="auto"/>
    </w:pPr>
  </w:style>
  <w:style w:type="character" w:customStyle="1" w:styleId="En-tteCar">
    <w:name w:val="En-tête Car"/>
    <w:basedOn w:val="Policepardfaut"/>
    <w:link w:val="En-tte"/>
    <w:uiPriority w:val="99"/>
    <w:rsid w:val="00AE53D2"/>
    <w:rPr>
      <w:lang w:val="fr-FR"/>
    </w:rPr>
  </w:style>
  <w:style w:type="paragraph" w:styleId="Pieddepage">
    <w:name w:val="footer"/>
    <w:basedOn w:val="Normal"/>
    <w:link w:val="PieddepageCar"/>
    <w:uiPriority w:val="99"/>
    <w:unhideWhenUsed/>
    <w:rsid w:val="00AE53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53D2"/>
    <w:rPr>
      <w:lang w:val="fr-FR"/>
    </w:rPr>
  </w:style>
  <w:style w:type="paragraph" w:styleId="Textedebulles">
    <w:name w:val="Balloon Text"/>
    <w:basedOn w:val="Normal"/>
    <w:link w:val="TextedebullesCar"/>
    <w:uiPriority w:val="99"/>
    <w:semiHidden/>
    <w:unhideWhenUsed/>
    <w:rsid w:val="00AE53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53D2"/>
    <w:rPr>
      <w:rFonts w:ascii="Tahoma" w:hAnsi="Tahoma" w:cs="Tahoma"/>
      <w:sz w:val="16"/>
      <w:szCs w:val="16"/>
      <w:lang w:val="fr-FR"/>
    </w:rPr>
  </w:style>
  <w:style w:type="paragraph" w:styleId="Paragraphedeliste">
    <w:name w:val="List Paragraph"/>
    <w:basedOn w:val="Normal"/>
    <w:uiPriority w:val="34"/>
    <w:qFormat/>
    <w:rsid w:val="0097162F"/>
    <w:pPr>
      <w:ind w:left="720"/>
      <w:contextualSpacing/>
    </w:pPr>
  </w:style>
  <w:style w:type="character" w:styleId="Marquedecommentaire">
    <w:name w:val="annotation reference"/>
    <w:basedOn w:val="Policepardfaut"/>
    <w:uiPriority w:val="99"/>
    <w:semiHidden/>
    <w:unhideWhenUsed/>
    <w:rsid w:val="008D351E"/>
    <w:rPr>
      <w:sz w:val="16"/>
      <w:szCs w:val="16"/>
    </w:rPr>
  </w:style>
  <w:style w:type="paragraph" w:styleId="Commentaire">
    <w:name w:val="annotation text"/>
    <w:basedOn w:val="Normal"/>
    <w:link w:val="CommentaireCar"/>
    <w:uiPriority w:val="99"/>
    <w:semiHidden/>
    <w:unhideWhenUsed/>
    <w:rsid w:val="008D351E"/>
    <w:pPr>
      <w:spacing w:line="240" w:lineRule="auto"/>
    </w:pPr>
    <w:rPr>
      <w:sz w:val="20"/>
      <w:szCs w:val="20"/>
    </w:rPr>
  </w:style>
  <w:style w:type="character" w:customStyle="1" w:styleId="CommentaireCar">
    <w:name w:val="Commentaire Car"/>
    <w:basedOn w:val="Policepardfaut"/>
    <w:link w:val="Commentaire"/>
    <w:uiPriority w:val="99"/>
    <w:semiHidden/>
    <w:rsid w:val="008D351E"/>
    <w:rPr>
      <w:sz w:val="20"/>
      <w:szCs w:val="20"/>
      <w:lang w:val="fr-FR"/>
    </w:rPr>
  </w:style>
  <w:style w:type="paragraph" w:styleId="Objetducommentaire">
    <w:name w:val="annotation subject"/>
    <w:basedOn w:val="Commentaire"/>
    <w:next w:val="Commentaire"/>
    <w:link w:val="ObjetducommentaireCar"/>
    <w:uiPriority w:val="99"/>
    <w:semiHidden/>
    <w:unhideWhenUsed/>
    <w:rsid w:val="008D351E"/>
    <w:rPr>
      <w:b/>
      <w:bCs/>
    </w:rPr>
  </w:style>
  <w:style w:type="character" w:customStyle="1" w:styleId="ObjetducommentaireCar">
    <w:name w:val="Objet du commentaire Car"/>
    <w:basedOn w:val="CommentaireCar"/>
    <w:link w:val="Objetducommentaire"/>
    <w:uiPriority w:val="99"/>
    <w:semiHidden/>
    <w:rsid w:val="008D351E"/>
    <w:rPr>
      <w:b/>
      <w:bCs/>
      <w:sz w:val="20"/>
      <w:szCs w:val="20"/>
      <w:lang w:val="fr-FR"/>
    </w:rPr>
  </w:style>
  <w:style w:type="paragraph" w:styleId="Notedebasdepage">
    <w:name w:val="footnote text"/>
    <w:basedOn w:val="Normal"/>
    <w:link w:val="NotedebasdepageCar"/>
    <w:uiPriority w:val="99"/>
    <w:semiHidden/>
    <w:unhideWhenUsed/>
    <w:rsid w:val="00C670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7064"/>
    <w:rPr>
      <w:sz w:val="20"/>
      <w:szCs w:val="20"/>
      <w:lang w:val="fr-FR"/>
    </w:rPr>
  </w:style>
  <w:style w:type="character" w:styleId="Appelnotedebasdep">
    <w:name w:val="footnote reference"/>
    <w:basedOn w:val="Policepardfaut"/>
    <w:uiPriority w:val="99"/>
    <w:semiHidden/>
    <w:unhideWhenUsed/>
    <w:rsid w:val="00C670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8004">
      <w:bodyDiv w:val="1"/>
      <w:marLeft w:val="0"/>
      <w:marRight w:val="0"/>
      <w:marTop w:val="0"/>
      <w:marBottom w:val="0"/>
      <w:divBdr>
        <w:top w:val="none" w:sz="0" w:space="0" w:color="auto"/>
        <w:left w:val="none" w:sz="0" w:space="0" w:color="auto"/>
        <w:bottom w:val="none" w:sz="0" w:space="0" w:color="auto"/>
        <w:right w:val="none" w:sz="0" w:space="0" w:color="auto"/>
      </w:divBdr>
      <w:divsChild>
        <w:div w:id="1446458848">
          <w:marLeft w:val="0"/>
          <w:marRight w:val="0"/>
          <w:marTop w:val="0"/>
          <w:marBottom w:val="0"/>
          <w:divBdr>
            <w:top w:val="none" w:sz="0" w:space="0" w:color="auto"/>
            <w:left w:val="none" w:sz="0" w:space="0" w:color="auto"/>
            <w:bottom w:val="none" w:sz="0" w:space="0" w:color="auto"/>
            <w:right w:val="none" w:sz="0" w:space="0" w:color="auto"/>
          </w:divBdr>
        </w:div>
        <w:div w:id="1778211879">
          <w:marLeft w:val="0"/>
          <w:marRight w:val="0"/>
          <w:marTop w:val="0"/>
          <w:marBottom w:val="0"/>
          <w:divBdr>
            <w:top w:val="none" w:sz="0" w:space="0" w:color="auto"/>
            <w:left w:val="none" w:sz="0" w:space="0" w:color="auto"/>
            <w:bottom w:val="none" w:sz="0" w:space="0" w:color="auto"/>
            <w:right w:val="none" w:sz="0" w:space="0" w:color="auto"/>
          </w:divBdr>
        </w:div>
        <w:div w:id="1504513716">
          <w:marLeft w:val="0"/>
          <w:marRight w:val="0"/>
          <w:marTop w:val="0"/>
          <w:marBottom w:val="0"/>
          <w:divBdr>
            <w:top w:val="none" w:sz="0" w:space="0" w:color="auto"/>
            <w:left w:val="none" w:sz="0" w:space="0" w:color="auto"/>
            <w:bottom w:val="none" w:sz="0" w:space="0" w:color="auto"/>
            <w:right w:val="none" w:sz="0" w:space="0" w:color="auto"/>
          </w:divBdr>
        </w:div>
        <w:div w:id="669870154">
          <w:marLeft w:val="0"/>
          <w:marRight w:val="0"/>
          <w:marTop w:val="0"/>
          <w:marBottom w:val="0"/>
          <w:divBdr>
            <w:top w:val="none" w:sz="0" w:space="0" w:color="auto"/>
            <w:left w:val="none" w:sz="0" w:space="0" w:color="auto"/>
            <w:bottom w:val="none" w:sz="0" w:space="0" w:color="auto"/>
            <w:right w:val="none" w:sz="0" w:space="0" w:color="auto"/>
          </w:divBdr>
        </w:div>
        <w:div w:id="1995985357">
          <w:marLeft w:val="0"/>
          <w:marRight w:val="0"/>
          <w:marTop w:val="0"/>
          <w:marBottom w:val="0"/>
          <w:divBdr>
            <w:top w:val="none" w:sz="0" w:space="0" w:color="auto"/>
            <w:left w:val="none" w:sz="0" w:space="0" w:color="auto"/>
            <w:bottom w:val="none" w:sz="0" w:space="0" w:color="auto"/>
            <w:right w:val="none" w:sz="0" w:space="0" w:color="auto"/>
          </w:divBdr>
        </w:div>
        <w:div w:id="1352226324">
          <w:marLeft w:val="0"/>
          <w:marRight w:val="0"/>
          <w:marTop w:val="0"/>
          <w:marBottom w:val="0"/>
          <w:divBdr>
            <w:top w:val="none" w:sz="0" w:space="0" w:color="auto"/>
            <w:left w:val="none" w:sz="0" w:space="0" w:color="auto"/>
            <w:bottom w:val="none" w:sz="0" w:space="0" w:color="auto"/>
            <w:right w:val="none" w:sz="0" w:space="0" w:color="auto"/>
          </w:divBdr>
        </w:div>
        <w:div w:id="1402944976">
          <w:marLeft w:val="0"/>
          <w:marRight w:val="0"/>
          <w:marTop w:val="0"/>
          <w:marBottom w:val="0"/>
          <w:divBdr>
            <w:top w:val="none" w:sz="0" w:space="0" w:color="auto"/>
            <w:left w:val="none" w:sz="0" w:space="0" w:color="auto"/>
            <w:bottom w:val="none" w:sz="0" w:space="0" w:color="auto"/>
            <w:right w:val="none" w:sz="0" w:space="0" w:color="auto"/>
          </w:divBdr>
        </w:div>
        <w:div w:id="1685663637">
          <w:marLeft w:val="0"/>
          <w:marRight w:val="0"/>
          <w:marTop w:val="0"/>
          <w:marBottom w:val="0"/>
          <w:divBdr>
            <w:top w:val="none" w:sz="0" w:space="0" w:color="auto"/>
            <w:left w:val="none" w:sz="0" w:space="0" w:color="auto"/>
            <w:bottom w:val="none" w:sz="0" w:space="0" w:color="auto"/>
            <w:right w:val="none" w:sz="0" w:space="0" w:color="auto"/>
          </w:divBdr>
        </w:div>
        <w:div w:id="2039813244">
          <w:marLeft w:val="0"/>
          <w:marRight w:val="0"/>
          <w:marTop w:val="0"/>
          <w:marBottom w:val="0"/>
          <w:divBdr>
            <w:top w:val="none" w:sz="0" w:space="0" w:color="auto"/>
            <w:left w:val="none" w:sz="0" w:space="0" w:color="auto"/>
            <w:bottom w:val="none" w:sz="0" w:space="0" w:color="auto"/>
            <w:right w:val="none" w:sz="0" w:space="0" w:color="auto"/>
          </w:divBdr>
        </w:div>
        <w:div w:id="2015524722">
          <w:marLeft w:val="0"/>
          <w:marRight w:val="0"/>
          <w:marTop w:val="0"/>
          <w:marBottom w:val="0"/>
          <w:divBdr>
            <w:top w:val="none" w:sz="0" w:space="0" w:color="auto"/>
            <w:left w:val="none" w:sz="0" w:space="0" w:color="auto"/>
            <w:bottom w:val="none" w:sz="0" w:space="0" w:color="auto"/>
            <w:right w:val="none" w:sz="0" w:space="0" w:color="auto"/>
          </w:divBdr>
        </w:div>
        <w:div w:id="1917520038">
          <w:marLeft w:val="0"/>
          <w:marRight w:val="0"/>
          <w:marTop w:val="0"/>
          <w:marBottom w:val="0"/>
          <w:divBdr>
            <w:top w:val="none" w:sz="0" w:space="0" w:color="auto"/>
            <w:left w:val="none" w:sz="0" w:space="0" w:color="auto"/>
            <w:bottom w:val="none" w:sz="0" w:space="0" w:color="auto"/>
            <w:right w:val="none" w:sz="0" w:space="0" w:color="auto"/>
          </w:divBdr>
        </w:div>
        <w:div w:id="1286038144">
          <w:marLeft w:val="0"/>
          <w:marRight w:val="0"/>
          <w:marTop w:val="0"/>
          <w:marBottom w:val="0"/>
          <w:divBdr>
            <w:top w:val="none" w:sz="0" w:space="0" w:color="auto"/>
            <w:left w:val="none" w:sz="0" w:space="0" w:color="auto"/>
            <w:bottom w:val="none" w:sz="0" w:space="0" w:color="auto"/>
            <w:right w:val="none" w:sz="0" w:space="0" w:color="auto"/>
          </w:divBdr>
        </w:div>
        <w:div w:id="1955093010">
          <w:marLeft w:val="0"/>
          <w:marRight w:val="0"/>
          <w:marTop w:val="0"/>
          <w:marBottom w:val="0"/>
          <w:divBdr>
            <w:top w:val="none" w:sz="0" w:space="0" w:color="auto"/>
            <w:left w:val="none" w:sz="0" w:space="0" w:color="auto"/>
            <w:bottom w:val="none" w:sz="0" w:space="0" w:color="auto"/>
            <w:right w:val="none" w:sz="0" w:space="0" w:color="auto"/>
          </w:divBdr>
        </w:div>
        <w:div w:id="2056348059">
          <w:marLeft w:val="0"/>
          <w:marRight w:val="0"/>
          <w:marTop w:val="0"/>
          <w:marBottom w:val="0"/>
          <w:divBdr>
            <w:top w:val="none" w:sz="0" w:space="0" w:color="auto"/>
            <w:left w:val="none" w:sz="0" w:space="0" w:color="auto"/>
            <w:bottom w:val="none" w:sz="0" w:space="0" w:color="auto"/>
            <w:right w:val="none" w:sz="0" w:space="0" w:color="auto"/>
          </w:divBdr>
        </w:div>
        <w:div w:id="397361146">
          <w:marLeft w:val="0"/>
          <w:marRight w:val="0"/>
          <w:marTop w:val="0"/>
          <w:marBottom w:val="0"/>
          <w:divBdr>
            <w:top w:val="none" w:sz="0" w:space="0" w:color="auto"/>
            <w:left w:val="none" w:sz="0" w:space="0" w:color="auto"/>
            <w:bottom w:val="none" w:sz="0" w:space="0" w:color="auto"/>
            <w:right w:val="none" w:sz="0" w:space="0" w:color="auto"/>
          </w:divBdr>
        </w:div>
        <w:div w:id="35666088">
          <w:marLeft w:val="0"/>
          <w:marRight w:val="0"/>
          <w:marTop w:val="0"/>
          <w:marBottom w:val="0"/>
          <w:divBdr>
            <w:top w:val="none" w:sz="0" w:space="0" w:color="auto"/>
            <w:left w:val="none" w:sz="0" w:space="0" w:color="auto"/>
            <w:bottom w:val="none" w:sz="0" w:space="0" w:color="auto"/>
            <w:right w:val="none" w:sz="0" w:space="0" w:color="auto"/>
          </w:divBdr>
        </w:div>
        <w:div w:id="526530855">
          <w:marLeft w:val="0"/>
          <w:marRight w:val="0"/>
          <w:marTop w:val="0"/>
          <w:marBottom w:val="0"/>
          <w:divBdr>
            <w:top w:val="none" w:sz="0" w:space="0" w:color="auto"/>
            <w:left w:val="none" w:sz="0" w:space="0" w:color="auto"/>
            <w:bottom w:val="none" w:sz="0" w:space="0" w:color="auto"/>
            <w:right w:val="none" w:sz="0" w:space="0" w:color="auto"/>
          </w:divBdr>
        </w:div>
        <w:div w:id="802625897">
          <w:marLeft w:val="0"/>
          <w:marRight w:val="0"/>
          <w:marTop w:val="0"/>
          <w:marBottom w:val="0"/>
          <w:divBdr>
            <w:top w:val="none" w:sz="0" w:space="0" w:color="auto"/>
            <w:left w:val="none" w:sz="0" w:space="0" w:color="auto"/>
            <w:bottom w:val="none" w:sz="0" w:space="0" w:color="auto"/>
            <w:right w:val="none" w:sz="0" w:space="0" w:color="auto"/>
          </w:divBdr>
        </w:div>
        <w:div w:id="1342203981">
          <w:marLeft w:val="0"/>
          <w:marRight w:val="0"/>
          <w:marTop w:val="0"/>
          <w:marBottom w:val="0"/>
          <w:divBdr>
            <w:top w:val="none" w:sz="0" w:space="0" w:color="auto"/>
            <w:left w:val="none" w:sz="0" w:space="0" w:color="auto"/>
            <w:bottom w:val="none" w:sz="0" w:space="0" w:color="auto"/>
            <w:right w:val="none" w:sz="0" w:space="0" w:color="auto"/>
          </w:divBdr>
        </w:div>
        <w:div w:id="1968244662">
          <w:marLeft w:val="0"/>
          <w:marRight w:val="0"/>
          <w:marTop w:val="0"/>
          <w:marBottom w:val="0"/>
          <w:divBdr>
            <w:top w:val="none" w:sz="0" w:space="0" w:color="auto"/>
            <w:left w:val="none" w:sz="0" w:space="0" w:color="auto"/>
            <w:bottom w:val="none" w:sz="0" w:space="0" w:color="auto"/>
            <w:right w:val="none" w:sz="0" w:space="0" w:color="auto"/>
          </w:divBdr>
        </w:div>
        <w:div w:id="1782457531">
          <w:marLeft w:val="0"/>
          <w:marRight w:val="0"/>
          <w:marTop w:val="0"/>
          <w:marBottom w:val="0"/>
          <w:divBdr>
            <w:top w:val="none" w:sz="0" w:space="0" w:color="auto"/>
            <w:left w:val="none" w:sz="0" w:space="0" w:color="auto"/>
            <w:bottom w:val="none" w:sz="0" w:space="0" w:color="auto"/>
            <w:right w:val="none" w:sz="0" w:space="0" w:color="auto"/>
          </w:divBdr>
        </w:div>
        <w:div w:id="1067190283">
          <w:marLeft w:val="0"/>
          <w:marRight w:val="0"/>
          <w:marTop w:val="0"/>
          <w:marBottom w:val="0"/>
          <w:divBdr>
            <w:top w:val="none" w:sz="0" w:space="0" w:color="auto"/>
            <w:left w:val="none" w:sz="0" w:space="0" w:color="auto"/>
            <w:bottom w:val="none" w:sz="0" w:space="0" w:color="auto"/>
            <w:right w:val="none" w:sz="0" w:space="0" w:color="auto"/>
          </w:divBdr>
        </w:div>
        <w:div w:id="236012021">
          <w:marLeft w:val="0"/>
          <w:marRight w:val="0"/>
          <w:marTop w:val="0"/>
          <w:marBottom w:val="0"/>
          <w:divBdr>
            <w:top w:val="none" w:sz="0" w:space="0" w:color="auto"/>
            <w:left w:val="none" w:sz="0" w:space="0" w:color="auto"/>
            <w:bottom w:val="none" w:sz="0" w:space="0" w:color="auto"/>
            <w:right w:val="none" w:sz="0" w:space="0" w:color="auto"/>
          </w:divBdr>
        </w:div>
        <w:div w:id="1766417175">
          <w:marLeft w:val="0"/>
          <w:marRight w:val="0"/>
          <w:marTop w:val="0"/>
          <w:marBottom w:val="0"/>
          <w:divBdr>
            <w:top w:val="none" w:sz="0" w:space="0" w:color="auto"/>
            <w:left w:val="none" w:sz="0" w:space="0" w:color="auto"/>
            <w:bottom w:val="none" w:sz="0" w:space="0" w:color="auto"/>
            <w:right w:val="none" w:sz="0" w:space="0" w:color="auto"/>
          </w:divBdr>
        </w:div>
        <w:div w:id="321667429">
          <w:marLeft w:val="0"/>
          <w:marRight w:val="0"/>
          <w:marTop w:val="0"/>
          <w:marBottom w:val="0"/>
          <w:divBdr>
            <w:top w:val="none" w:sz="0" w:space="0" w:color="auto"/>
            <w:left w:val="none" w:sz="0" w:space="0" w:color="auto"/>
            <w:bottom w:val="none" w:sz="0" w:space="0" w:color="auto"/>
            <w:right w:val="none" w:sz="0" w:space="0" w:color="auto"/>
          </w:divBdr>
        </w:div>
        <w:div w:id="1573662364">
          <w:marLeft w:val="0"/>
          <w:marRight w:val="0"/>
          <w:marTop w:val="0"/>
          <w:marBottom w:val="0"/>
          <w:divBdr>
            <w:top w:val="none" w:sz="0" w:space="0" w:color="auto"/>
            <w:left w:val="none" w:sz="0" w:space="0" w:color="auto"/>
            <w:bottom w:val="none" w:sz="0" w:space="0" w:color="auto"/>
            <w:right w:val="none" w:sz="0" w:space="0" w:color="auto"/>
          </w:divBdr>
        </w:div>
        <w:div w:id="573471117">
          <w:marLeft w:val="0"/>
          <w:marRight w:val="0"/>
          <w:marTop w:val="0"/>
          <w:marBottom w:val="0"/>
          <w:divBdr>
            <w:top w:val="none" w:sz="0" w:space="0" w:color="auto"/>
            <w:left w:val="none" w:sz="0" w:space="0" w:color="auto"/>
            <w:bottom w:val="none" w:sz="0" w:space="0" w:color="auto"/>
            <w:right w:val="none" w:sz="0" w:space="0" w:color="auto"/>
          </w:divBdr>
        </w:div>
        <w:div w:id="1417365356">
          <w:marLeft w:val="0"/>
          <w:marRight w:val="0"/>
          <w:marTop w:val="0"/>
          <w:marBottom w:val="0"/>
          <w:divBdr>
            <w:top w:val="none" w:sz="0" w:space="0" w:color="auto"/>
            <w:left w:val="none" w:sz="0" w:space="0" w:color="auto"/>
            <w:bottom w:val="none" w:sz="0" w:space="0" w:color="auto"/>
            <w:right w:val="none" w:sz="0" w:space="0" w:color="auto"/>
          </w:divBdr>
        </w:div>
        <w:div w:id="596446970">
          <w:marLeft w:val="0"/>
          <w:marRight w:val="0"/>
          <w:marTop w:val="0"/>
          <w:marBottom w:val="0"/>
          <w:divBdr>
            <w:top w:val="none" w:sz="0" w:space="0" w:color="auto"/>
            <w:left w:val="none" w:sz="0" w:space="0" w:color="auto"/>
            <w:bottom w:val="none" w:sz="0" w:space="0" w:color="auto"/>
            <w:right w:val="none" w:sz="0" w:space="0" w:color="auto"/>
          </w:divBdr>
        </w:div>
        <w:div w:id="608781957">
          <w:marLeft w:val="0"/>
          <w:marRight w:val="0"/>
          <w:marTop w:val="0"/>
          <w:marBottom w:val="0"/>
          <w:divBdr>
            <w:top w:val="none" w:sz="0" w:space="0" w:color="auto"/>
            <w:left w:val="none" w:sz="0" w:space="0" w:color="auto"/>
            <w:bottom w:val="none" w:sz="0" w:space="0" w:color="auto"/>
            <w:right w:val="none" w:sz="0" w:space="0" w:color="auto"/>
          </w:divBdr>
        </w:div>
        <w:div w:id="1969895953">
          <w:marLeft w:val="0"/>
          <w:marRight w:val="0"/>
          <w:marTop w:val="0"/>
          <w:marBottom w:val="0"/>
          <w:divBdr>
            <w:top w:val="none" w:sz="0" w:space="0" w:color="auto"/>
            <w:left w:val="none" w:sz="0" w:space="0" w:color="auto"/>
            <w:bottom w:val="none" w:sz="0" w:space="0" w:color="auto"/>
            <w:right w:val="none" w:sz="0" w:space="0" w:color="auto"/>
          </w:divBdr>
        </w:div>
        <w:div w:id="1158419942">
          <w:marLeft w:val="0"/>
          <w:marRight w:val="0"/>
          <w:marTop w:val="0"/>
          <w:marBottom w:val="0"/>
          <w:divBdr>
            <w:top w:val="none" w:sz="0" w:space="0" w:color="auto"/>
            <w:left w:val="none" w:sz="0" w:space="0" w:color="auto"/>
            <w:bottom w:val="none" w:sz="0" w:space="0" w:color="auto"/>
            <w:right w:val="none" w:sz="0" w:space="0" w:color="auto"/>
          </w:divBdr>
        </w:div>
        <w:div w:id="495342413">
          <w:marLeft w:val="0"/>
          <w:marRight w:val="0"/>
          <w:marTop w:val="0"/>
          <w:marBottom w:val="0"/>
          <w:divBdr>
            <w:top w:val="none" w:sz="0" w:space="0" w:color="auto"/>
            <w:left w:val="none" w:sz="0" w:space="0" w:color="auto"/>
            <w:bottom w:val="none" w:sz="0" w:space="0" w:color="auto"/>
            <w:right w:val="none" w:sz="0" w:space="0" w:color="auto"/>
          </w:divBdr>
        </w:div>
        <w:div w:id="1416322365">
          <w:marLeft w:val="0"/>
          <w:marRight w:val="0"/>
          <w:marTop w:val="0"/>
          <w:marBottom w:val="0"/>
          <w:divBdr>
            <w:top w:val="none" w:sz="0" w:space="0" w:color="auto"/>
            <w:left w:val="none" w:sz="0" w:space="0" w:color="auto"/>
            <w:bottom w:val="none" w:sz="0" w:space="0" w:color="auto"/>
            <w:right w:val="none" w:sz="0" w:space="0" w:color="auto"/>
          </w:divBdr>
        </w:div>
        <w:div w:id="491797283">
          <w:marLeft w:val="0"/>
          <w:marRight w:val="0"/>
          <w:marTop w:val="0"/>
          <w:marBottom w:val="0"/>
          <w:divBdr>
            <w:top w:val="none" w:sz="0" w:space="0" w:color="auto"/>
            <w:left w:val="none" w:sz="0" w:space="0" w:color="auto"/>
            <w:bottom w:val="none" w:sz="0" w:space="0" w:color="auto"/>
            <w:right w:val="none" w:sz="0" w:space="0" w:color="auto"/>
          </w:divBdr>
        </w:div>
        <w:div w:id="1134103385">
          <w:marLeft w:val="0"/>
          <w:marRight w:val="0"/>
          <w:marTop w:val="0"/>
          <w:marBottom w:val="0"/>
          <w:divBdr>
            <w:top w:val="none" w:sz="0" w:space="0" w:color="auto"/>
            <w:left w:val="none" w:sz="0" w:space="0" w:color="auto"/>
            <w:bottom w:val="none" w:sz="0" w:space="0" w:color="auto"/>
            <w:right w:val="none" w:sz="0" w:space="0" w:color="auto"/>
          </w:divBdr>
        </w:div>
        <w:div w:id="1330673093">
          <w:marLeft w:val="0"/>
          <w:marRight w:val="0"/>
          <w:marTop w:val="0"/>
          <w:marBottom w:val="0"/>
          <w:divBdr>
            <w:top w:val="none" w:sz="0" w:space="0" w:color="auto"/>
            <w:left w:val="none" w:sz="0" w:space="0" w:color="auto"/>
            <w:bottom w:val="none" w:sz="0" w:space="0" w:color="auto"/>
            <w:right w:val="none" w:sz="0" w:space="0" w:color="auto"/>
          </w:divBdr>
        </w:div>
        <w:div w:id="1027367800">
          <w:marLeft w:val="0"/>
          <w:marRight w:val="0"/>
          <w:marTop w:val="0"/>
          <w:marBottom w:val="0"/>
          <w:divBdr>
            <w:top w:val="none" w:sz="0" w:space="0" w:color="auto"/>
            <w:left w:val="none" w:sz="0" w:space="0" w:color="auto"/>
            <w:bottom w:val="none" w:sz="0" w:space="0" w:color="auto"/>
            <w:right w:val="none" w:sz="0" w:space="0" w:color="auto"/>
          </w:divBdr>
        </w:div>
        <w:div w:id="109010027">
          <w:marLeft w:val="0"/>
          <w:marRight w:val="0"/>
          <w:marTop w:val="0"/>
          <w:marBottom w:val="0"/>
          <w:divBdr>
            <w:top w:val="none" w:sz="0" w:space="0" w:color="auto"/>
            <w:left w:val="none" w:sz="0" w:space="0" w:color="auto"/>
            <w:bottom w:val="none" w:sz="0" w:space="0" w:color="auto"/>
            <w:right w:val="none" w:sz="0" w:space="0" w:color="auto"/>
          </w:divBdr>
        </w:div>
        <w:div w:id="462771523">
          <w:marLeft w:val="0"/>
          <w:marRight w:val="0"/>
          <w:marTop w:val="0"/>
          <w:marBottom w:val="0"/>
          <w:divBdr>
            <w:top w:val="none" w:sz="0" w:space="0" w:color="auto"/>
            <w:left w:val="none" w:sz="0" w:space="0" w:color="auto"/>
            <w:bottom w:val="none" w:sz="0" w:space="0" w:color="auto"/>
            <w:right w:val="none" w:sz="0" w:space="0" w:color="auto"/>
          </w:divBdr>
        </w:div>
        <w:div w:id="12848099">
          <w:marLeft w:val="0"/>
          <w:marRight w:val="0"/>
          <w:marTop w:val="0"/>
          <w:marBottom w:val="0"/>
          <w:divBdr>
            <w:top w:val="none" w:sz="0" w:space="0" w:color="auto"/>
            <w:left w:val="none" w:sz="0" w:space="0" w:color="auto"/>
            <w:bottom w:val="none" w:sz="0" w:space="0" w:color="auto"/>
            <w:right w:val="none" w:sz="0" w:space="0" w:color="auto"/>
          </w:divBdr>
        </w:div>
        <w:div w:id="111560654">
          <w:marLeft w:val="0"/>
          <w:marRight w:val="0"/>
          <w:marTop w:val="0"/>
          <w:marBottom w:val="0"/>
          <w:divBdr>
            <w:top w:val="none" w:sz="0" w:space="0" w:color="auto"/>
            <w:left w:val="none" w:sz="0" w:space="0" w:color="auto"/>
            <w:bottom w:val="none" w:sz="0" w:space="0" w:color="auto"/>
            <w:right w:val="none" w:sz="0" w:space="0" w:color="auto"/>
          </w:divBdr>
        </w:div>
        <w:div w:id="1152018321">
          <w:marLeft w:val="0"/>
          <w:marRight w:val="0"/>
          <w:marTop w:val="0"/>
          <w:marBottom w:val="0"/>
          <w:divBdr>
            <w:top w:val="none" w:sz="0" w:space="0" w:color="auto"/>
            <w:left w:val="none" w:sz="0" w:space="0" w:color="auto"/>
            <w:bottom w:val="none" w:sz="0" w:space="0" w:color="auto"/>
            <w:right w:val="none" w:sz="0" w:space="0" w:color="auto"/>
          </w:divBdr>
        </w:div>
        <w:div w:id="1277786160">
          <w:marLeft w:val="0"/>
          <w:marRight w:val="0"/>
          <w:marTop w:val="0"/>
          <w:marBottom w:val="0"/>
          <w:divBdr>
            <w:top w:val="none" w:sz="0" w:space="0" w:color="auto"/>
            <w:left w:val="none" w:sz="0" w:space="0" w:color="auto"/>
            <w:bottom w:val="none" w:sz="0" w:space="0" w:color="auto"/>
            <w:right w:val="none" w:sz="0" w:space="0" w:color="auto"/>
          </w:divBdr>
        </w:div>
        <w:div w:id="2074502113">
          <w:marLeft w:val="0"/>
          <w:marRight w:val="0"/>
          <w:marTop w:val="0"/>
          <w:marBottom w:val="0"/>
          <w:divBdr>
            <w:top w:val="none" w:sz="0" w:space="0" w:color="auto"/>
            <w:left w:val="none" w:sz="0" w:space="0" w:color="auto"/>
            <w:bottom w:val="none" w:sz="0" w:space="0" w:color="auto"/>
            <w:right w:val="none" w:sz="0" w:space="0" w:color="auto"/>
          </w:divBdr>
        </w:div>
        <w:div w:id="1623340717">
          <w:marLeft w:val="0"/>
          <w:marRight w:val="0"/>
          <w:marTop w:val="0"/>
          <w:marBottom w:val="0"/>
          <w:divBdr>
            <w:top w:val="none" w:sz="0" w:space="0" w:color="auto"/>
            <w:left w:val="none" w:sz="0" w:space="0" w:color="auto"/>
            <w:bottom w:val="none" w:sz="0" w:space="0" w:color="auto"/>
            <w:right w:val="none" w:sz="0" w:space="0" w:color="auto"/>
          </w:divBdr>
        </w:div>
        <w:div w:id="577326682">
          <w:marLeft w:val="0"/>
          <w:marRight w:val="0"/>
          <w:marTop w:val="0"/>
          <w:marBottom w:val="0"/>
          <w:divBdr>
            <w:top w:val="none" w:sz="0" w:space="0" w:color="auto"/>
            <w:left w:val="none" w:sz="0" w:space="0" w:color="auto"/>
            <w:bottom w:val="none" w:sz="0" w:space="0" w:color="auto"/>
            <w:right w:val="none" w:sz="0" w:space="0" w:color="auto"/>
          </w:divBdr>
        </w:div>
        <w:div w:id="2076006239">
          <w:marLeft w:val="0"/>
          <w:marRight w:val="0"/>
          <w:marTop w:val="0"/>
          <w:marBottom w:val="0"/>
          <w:divBdr>
            <w:top w:val="none" w:sz="0" w:space="0" w:color="auto"/>
            <w:left w:val="none" w:sz="0" w:space="0" w:color="auto"/>
            <w:bottom w:val="none" w:sz="0" w:space="0" w:color="auto"/>
            <w:right w:val="none" w:sz="0" w:space="0" w:color="auto"/>
          </w:divBdr>
        </w:div>
        <w:div w:id="1895238093">
          <w:marLeft w:val="0"/>
          <w:marRight w:val="0"/>
          <w:marTop w:val="0"/>
          <w:marBottom w:val="0"/>
          <w:divBdr>
            <w:top w:val="none" w:sz="0" w:space="0" w:color="auto"/>
            <w:left w:val="none" w:sz="0" w:space="0" w:color="auto"/>
            <w:bottom w:val="none" w:sz="0" w:space="0" w:color="auto"/>
            <w:right w:val="none" w:sz="0" w:space="0" w:color="auto"/>
          </w:divBdr>
        </w:div>
        <w:div w:id="340394999">
          <w:marLeft w:val="0"/>
          <w:marRight w:val="0"/>
          <w:marTop w:val="0"/>
          <w:marBottom w:val="0"/>
          <w:divBdr>
            <w:top w:val="none" w:sz="0" w:space="0" w:color="auto"/>
            <w:left w:val="none" w:sz="0" w:space="0" w:color="auto"/>
            <w:bottom w:val="none" w:sz="0" w:space="0" w:color="auto"/>
            <w:right w:val="none" w:sz="0" w:space="0" w:color="auto"/>
          </w:divBdr>
        </w:div>
        <w:div w:id="555091540">
          <w:marLeft w:val="0"/>
          <w:marRight w:val="0"/>
          <w:marTop w:val="0"/>
          <w:marBottom w:val="0"/>
          <w:divBdr>
            <w:top w:val="none" w:sz="0" w:space="0" w:color="auto"/>
            <w:left w:val="none" w:sz="0" w:space="0" w:color="auto"/>
            <w:bottom w:val="none" w:sz="0" w:space="0" w:color="auto"/>
            <w:right w:val="none" w:sz="0" w:space="0" w:color="auto"/>
          </w:divBdr>
        </w:div>
        <w:div w:id="1373919963">
          <w:marLeft w:val="0"/>
          <w:marRight w:val="0"/>
          <w:marTop w:val="0"/>
          <w:marBottom w:val="0"/>
          <w:divBdr>
            <w:top w:val="none" w:sz="0" w:space="0" w:color="auto"/>
            <w:left w:val="none" w:sz="0" w:space="0" w:color="auto"/>
            <w:bottom w:val="none" w:sz="0" w:space="0" w:color="auto"/>
            <w:right w:val="none" w:sz="0" w:space="0" w:color="auto"/>
          </w:divBdr>
        </w:div>
        <w:div w:id="850678153">
          <w:marLeft w:val="0"/>
          <w:marRight w:val="0"/>
          <w:marTop w:val="0"/>
          <w:marBottom w:val="0"/>
          <w:divBdr>
            <w:top w:val="none" w:sz="0" w:space="0" w:color="auto"/>
            <w:left w:val="none" w:sz="0" w:space="0" w:color="auto"/>
            <w:bottom w:val="none" w:sz="0" w:space="0" w:color="auto"/>
            <w:right w:val="none" w:sz="0" w:space="0" w:color="auto"/>
          </w:divBdr>
        </w:div>
        <w:div w:id="255092323">
          <w:marLeft w:val="0"/>
          <w:marRight w:val="0"/>
          <w:marTop w:val="0"/>
          <w:marBottom w:val="0"/>
          <w:divBdr>
            <w:top w:val="none" w:sz="0" w:space="0" w:color="auto"/>
            <w:left w:val="none" w:sz="0" w:space="0" w:color="auto"/>
            <w:bottom w:val="none" w:sz="0" w:space="0" w:color="auto"/>
            <w:right w:val="none" w:sz="0" w:space="0" w:color="auto"/>
          </w:divBdr>
        </w:div>
        <w:div w:id="121966576">
          <w:marLeft w:val="0"/>
          <w:marRight w:val="0"/>
          <w:marTop w:val="0"/>
          <w:marBottom w:val="0"/>
          <w:divBdr>
            <w:top w:val="none" w:sz="0" w:space="0" w:color="auto"/>
            <w:left w:val="none" w:sz="0" w:space="0" w:color="auto"/>
            <w:bottom w:val="none" w:sz="0" w:space="0" w:color="auto"/>
            <w:right w:val="none" w:sz="0" w:space="0" w:color="auto"/>
          </w:divBdr>
        </w:div>
        <w:div w:id="80181960">
          <w:marLeft w:val="0"/>
          <w:marRight w:val="0"/>
          <w:marTop w:val="0"/>
          <w:marBottom w:val="0"/>
          <w:divBdr>
            <w:top w:val="none" w:sz="0" w:space="0" w:color="auto"/>
            <w:left w:val="none" w:sz="0" w:space="0" w:color="auto"/>
            <w:bottom w:val="none" w:sz="0" w:space="0" w:color="auto"/>
            <w:right w:val="none" w:sz="0" w:space="0" w:color="auto"/>
          </w:divBdr>
        </w:div>
        <w:div w:id="1793745093">
          <w:marLeft w:val="0"/>
          <w:marRight w:val="0"/>
          <w:marTop w:val="0"/>
          <w:marBottom w:val="0"/>
          <w:divBdr>
            <w:top w:val="none" w:sz="0" w:space="0" w:color="auto"/>
            <w:left w:val="none" w:sz="0" w:space="0" w:color="auto"/>
            <w:bottom w:val="none" w:sz="0" w:space="0" w:color="auto"/>
            <w:right w:val="none" w:sz="0" w:space="0" w:color="auto"/>
          </w:divBdr>
        </w:div>
        <w:div w:id="222640981">
          <w:marLeft w:val="0"/>
          <w:marRight w:val="0"/>
          <w:marTop w:val="0"/>
          <w:marBottom w:val="0"/>
          <w:divBdr>
            <w:top w:val="none" w:sz="0" w:space="0" w:color="auto"/>
            <w:left w:val="none" w:sz="0" w:space="0" w:color="auto"/>
            <w:bottom w:val="none" w:sz="0" w:space="0" w:color="auto"/>
            <w:right w:val="none" w:sz="0" w:space="0" w:color="auto"/>
          </w:divBdr>
        </w:div>
        <w:div w:id="1276522273">
          <w:marLeft w:val="0"/>
          <w:marRight w:val="0"/>
          <w:marTop w:val="0"/>
          <w:marBottom w:val="0"/>
          <w:divBdr>
            <w:top w:val="none" w:sz="0" w:space="0" w:color="auto"/>
            <w:left w:val="none" w:sz="0" w:space="0" w:color="auto"/>
            <w:bottom w:val="none" w:sz="0" w:space="0" w:color="auto"/>
            <w:right w:val="none" w:sz="0" w:space="0" w:color="auto"/>
          </w:divBdr>
        </w:div>
        <w:div w:id="418867437">
          <w:marLeft w:val="0"/>
          <w:marRight w:val="0"/>
          <w:marTop w:val="0"/>
          <w:marBottom w:val="0"/>
          <w:divBdr>
            <w:top w:val="none" w:sz="0" w:space="0" w:color="auto"/>
            <w:left w:val="none" w:sz="0" w:space="0" w:color="auto"/>
            <w:bottom w:val="none" w:sz="0" w:space="0" w:color="auto"/>
            <w:right w:val="none" w:sz="0" w:space="0" w:color="auto"/>
          </w:divBdr>
        </w:div>
        <w:div w:id="1617254642">
          <w:marLeft w:val="0"/>
          <w:marRight w:val="0"/>
          <w:marTop w:val="0"/>
          <w:marBottom w:val="0"/>
          <w:divBdr>
            <w:top w:val="none" w:sz="0" w:space="0" w:color="auto"/>
            <w:left w:val="none" w:sz="0" w:space="0" w:color="auto"/>
            <w:bottom w:val="none" w:sz="0" w:space="0" w:color="auto"/>
            <w:right w:val="none" w:sz="0" w:space="0" w:color="auto"/>
          </w:divBdr>
        </w:div>
        <w:div w:id="1584535628">
          <w:marLeft w:val="0"/>
          <w:marRight w:val="0"/>
          <w:marTop w:val="0"/>
          <w:marBottom w:val="0"/>
          <w:divBdr>
            <w:top w:val="none" w:sz="0" w:space="0" w:color="auto"/>
            <w:left w:val="none" w:sz="0" w:space="0" w:color="auto"/>
            <w:bottom w:val="none" w:sz="0" w:space="0" w:color="auto"/>
            <w:right w:val="none" w:sz="0" w:space="0" w:color="auto"/>
          </w:divBdr>
        </w:div>
        <w:div w:id="994257589">
          <w:marLeft w:val="0"/>
          <w:marRight w:val="0"/>
          <w:marTop w:val="0"/>
          <w:marBottom w:val="0"/>
          <w:divBdr>
            <w:top w:val="none" w:sz="0" w:space="0" w:color="auto"/>
            <w:left w:val="none" w:sz="0" w:space="0" w:color="auto"/>
            <w:bottom w:val="none" w:sz="0" w:space="0" w:color="auto"/>
            <w:right w:val="none" w:sz="0" w:space="0" w:color="auto"/>
          </w:divBdr>
        </w:div>
        <w:div w:id="2020693208">
          <w:marLeft w:val="0"/>
          <w:marRight w:val="0"/>
          <w:marTop w:val="0"/>
          <w:marBottom w:val="0"/>
          <w:divBdr>
            <w:top w:val="none" w:sz="0" w:space="0" w:color="auto"/>
            <w:left w:val="none" w:sz="0" w:space="0" w:color="auto"/>
            <w:bottom w:val="none" w:sz="0" w:space="0" w:color="auto"/>
            <w:right w:val="none" w:sz="0" w:space="0" w:color="auto"/>
          </w:divBdr>
        </w:div>
        <w:div w:id="290868857">
          <w:marLeft w:val="0"/>
          <w:marRight w:val="0"/>
          <w:marTop w:val="0"/>
          <w:marBottom w:val="0"/>
          <w:divBdr>
            <w:top w:val="none" w:sz="0" w:space="0" w:color="auto"/>
            <w:left w:val="none" w:sz="0" w:space="0" w:color="auto"/>
            <w:bottom w:val="none" w:sz="0" w:space="0" w:color="auto"/>
            <w:right w:val="none" w:sz="0" w:space="0" w:color="auto"/>
          </w:divBdr>
        </w:div>
        <w:div w:id="354815387">
          <w:marLeft w:val="0"/>
          <w:marRight w:val="0"/>
          <w:marTop w:val="0"/>
          <w:marBottom w:val="0"/>
          <w:divBdr>
            <w:top w:val="none" w:sz="0" w:space="0" w:color="auto"/>
            <w:left w:val="none" w:sz="0" w:space="0" w:color="auto"/>
            <w:bottom w:val="none" w:sz="0" w:space="0" w:color="auto"/>
            <w:right w:val="none" w:sz="0" w:space="0" w:color="auto"/>
          </w:divBdr>
        </w:div>
        <w:div w:id="298152408">
          <w:marLeft w:val="0"/>
          <w:marRight w:val="0"/>
          <w:marTop w:val="0"/>
          <w:marBottom w:val="0"/>
          <w:divBdr>
            <w:top w:val="none" w:sz="0" w:space="0" w:color="auto"/>
            <w:left w:val="none" w:sz="0" w:space="0" w:color="auto"/>
            <w:bottom w:val="none" w:sz="0" w:space="0" w:color="auto"/>
            <w:right w:val="none" w:sz="0" w:space="0" w:color="auto"/>
          </w:divBdr>
        </w:div>
        <w:div w:id="552812278">
          <w:marLeft w:val="0"/>
          <w:marRight w:val="0"/>
          <w:marTop w:val="0"/>
          <w:marBottom w:val="0"/>
          <w:divBdr>
            <w:top w:val="none" w:sz="0" w:space="0" w:color="auto"/>
            <w:left w:val="none" w:sz="0" w:space="0" w:color="auto"/>
            <w:bottom w:val="none" w:sz="0" w:space="0" w:color="auto"/>
            <w:right w:val="none" w:sz="0" w:space="0" w:color="auto"/>
          </w:divBdr>
        </w:div>
        <w:div w:id="1879968656">
          <w:marLeft w:val="0"/>
          <w:marRight w:val="0"/>
          <w:marTop w:val="0"/>
          <w:marBottom w:val="0"/>
          <w:divBdr>
            <w:top w:val="none" w:sz="0" w:space="0" w:color="auto"/>
            <w:left w:val="none" w:sz="0" w:space="0" w:color="auto"/>
            <w:bottom w:val="none" w:sz="0" w:space="0" w:color="auto"/>
            <w:right w:val="none" w:sz="0" w:space="0" w:color="auto"/>
          </w:divBdr>
        </w:div>
        <w:div w:id="584001237">
          <w:marLeft w:val="0"/>
          <w:marRight w:val="0"/>
          <w:marTop w:val="0"/>
          <w:marBottom w:val="0"/>
          <w:divBdr>
            <w:top w:val="none" w:sz="0" w:space="0" w:color="auto"/>
            <w:left w:val="none" w:sz="0" w:space="0" w:color="auto"/>
            <w:bottom w:val="none" w:sz="0" w:space="0" w:color="auto"/>
            <w:right w:val="none" w:sz="0" w:space="0" w:color="auto"/>
          </w:divBdr>
        </w:div>
        <w:div w:id="1481579214">
          <w:marLeft w:val="0"/>
          <w:marRight w:val="0"/>
          <w:marTop w:val="0"/>
          <w:marBottom w:val="0"/>
          <w:divBdr>
            <w:top w:val="none" w:sz="0" w:space="0" w:color="auto"/>
            <w:left w:val="none" w:sz="0" w:space="0" w:color="auto"/>
            <w:bottom w:val="none" w:sz="0" w:space="0" w:color="auto"/>
            <w:right w:val="none" w:sz="0" w:space="0" w:color="auto"/>
          </w:divBdr>
        </w:div>
        <w:div w:id="1322542556">
          <w:marLeft w:val="0"/>
          <w:marRight w:val="0"/>
          <w:marTop w:val="0"/>
          <w:marBottom w:val="0"/>
          <w:divBdr>
            <w:top w:val="none" w:sz="0" w:space="0" w:color="auto"/>
            <w:left w:val="none" w:sz="0" w:space="0" w:color="auto"/>
            <w:bottom w:val="none" w:sz="0" w:space="0" w:color="auto"/>
            <w:right w:val="none" w:sz="0" w:space="0" w:color="auto"/>
          </w:divBdr>
        </w:div>
        <w:div w:id="1553345251">
          <w:marLeft w:val="0"/>
          <w:marRight w:val="0"/>
          <w:marTop w:val="0"/>
          <w:marBottom w:val="0"/>
          <w:divBdr>
            <w:top w:val="none" w:sz="0" w:space="0" w:color="auto"/>
            <w:left w:val="none" w:sz="0" w:space="0" w:color="auto"/>
            <w:bottom w:val="none" w:sz="0" w:space="0" w:color="auto"/>
            <w:right w:val="none" w:sz="0" w:space="0" w:color="auto"/>
          </w:divBdr>
        </w:div>
        <w:div w:id="1318268511">
          <w:marLeft w:val="0"/>
          <w:marRight w:val="0"/>
          <w:marTop w:val="0"/>
          <w:marBottom w:val="0"/>
          <w:divBdr>
            <w:top w:val="none" w:sz="0" w:space="0" w:color="auto"/>
            <w:left w:val="none" w:sz="0" w:space="0" w:color="auto"/>
            <w:bottom w:val="none" w:sz="0" w:space="0" w:color="auto"/>
            <w:right w:val="none" w:sz="0" w:space="0" w:color="auto"/>
          </w:divBdr>
        </w:div>
        <w:div w:id="2077892674">
          <w:marLeft w:val="0"/>
          <w:marRight w:val="0"/>
          <w:marTop w:val="0"/>
          <w:marBottom w:val="0"/>
          <w:divBdr>
            <w:top w:val="none" w:sz="0" w:space="0" w:color="auto"/>
            <w:left w:val="none" w:sz="0" w:space="0" w:color="auto"/>
            <w:bottom w:val="none" w:sz="0" w:space="0" w:color="auto"/>
            <w:right w:val="none" w:sz="0" w:space="0" w:color="auto"/>
          </w:divBdr>
        </w:div>
        <w:div w:id="578756508">
          <w:marLeft w:val="0"/>
          <w:marRight w:val="0"/>
          <w:marTop w:val="0"/>
          <w:marBottom w:val="0"/>
          <w:divBdr>
            <w:top w:val="none" w:sz="0" w:space="0" w:color="auto"/>
            <w:left w:val="none" w:sz="0" w:space="0" w:color="auto"/>
            <w:bottom w:val="none" w:sz="0" w:space="0" w:color="auto"/>
            <w:right w:val="none" w:sz="0" w:space="0" w:color="auto"/>
          </w:divBdr>
        </w:div>
        <w:div w:id="975329170">
          <w:marLeft w:val="0"/>
          <w:marRight w:val="0"/>
          <w:marTop w:val="0"/>
          <w:marBottom w:val="0"/>
          <w:divBdr>
            <w:top w:val="none" w:sz="0" w:space="0" w:color="auto"/>
            <w:left w:val="none" w:sz="0" w:space="0" w:color="auto"/>
            <w:bottom w:val="none" w:sz="0" w:space="0" w:color="auto"/>
            <w:right w:val="none" w:sz="0" w:space="0" w:color="auto"/>
          </w:divBdr>
        </w:div>
        <w:div w:id="445273888">
          <w:marLeft w:val="0"/>
          <w:marRight w:val="0"/>
          <w:marTop w:val="0"/>
          <w:marBottom w:val="0"/>
          <w:divBdr>
            <w:top w:val="none" w:sz="0" w:space="0" w:color="auto"/>
            <w:left w:val="none" w:sz="0" w:space="0" w:color="auto"/>
            <w:bottom w:val="none" w:sz="0" w:space="0" w:color="auto"/>
            <w:right w:val="none" w:sz="0" w:space="0" w:color="auto"/>
          </w:divBdr>
        </w:div>
        <w:div w:id="222374774">
          <w:marLeft w:val="0"/>
          <w:marRight w:val="0"/>
          <w:marTop w:val="0"/>
          <w:marBottom w:val="0"/>
          <w:divBdr>
            <w:top w:val="none" w:sz="0" w:space="0" w:color="auto"/>
            <w:left w:val="none" w:sz="0" w:space="0" w:color="auto"/>
            <w:bottom w:val="none" w:sz="0" w:space="0" w:color="auto"/>
            <w:right w:val="none" w:sz="0" w:space="0" w:color="auto"/>
          </w:divBdr>
        </w:div>
        <w:div w:id="1343311745">
          <w:marLeft w:val="0"/>
          <w:marRight w:val="0"/>
          <w:marTop w:val="0"/>
          <w:marBottom w:val="0"/>
          <w:divBdr>
            <w:top w:val="none" w:sz="0" w:space="0" w:color="auto"/>
            <w:left w:val="none" w:sz="0" w:space="0" w:color="auto"/>
            <w:bottom w:val="none" w:sz="0" w:space="0" w:color="auto"/>
            <w:right w:val="none" w:sz="0" w:space="0" w:color="auto"/>
          </w:divBdr>
        </w:div>
        <w:div w:id="458844008">
          <w:marLeft w:val="0"/>
          <w:marRight w:val="0"/>
          <w:marTop w:val="0"/>
          <w:marBottom w:val="0"/>
          <w:divBdr>
            <w:top w:val="none" w:sz="0" w:space="0" w:color="auto"/>
            <w:left w:val="none" w:sz="0" w:space="0" w:color="auto"/>
            <w:bottom w:val="none" w:sz="0" w:space="0" w:color="auto"/>
            <w:right w:val="none" w:sz="0" w:space="0" w:color="auto"/>
          </w:divBdr>
        </w:div>
        <w:div w:id="698630307">
          <w:marLeft w:val="0"/>
          <w:marRight w:val="0"/>
          <w:marTop w:val="0"/>
          <w:marBottom w:val="0"/>
          <w:divBdr>
            <w:top w:val="none" w:sz="0" w:space="0" w:color="auto"/>
            <w:left w:val="none" w:sz="0" w:space="0" w:color="auto"/>
            <w:bottom w:val="none" w:sz="0" w:space="0" w:color="auto"/>
            <w:right w:val="none" w:sz="0" w:space="0" w:color="auto"/>
          </w:divBdr>
        </w:div>
        <w:div w:id="1337535748">
          <w:marLeft w:val="0"/>
          <w:marRight w:val="0"/>
          <w:marTop w:val="0"/>
          <w:marBottom w:val="0"/>
          <w:divBdr>
            <w:top w:val="none" w:sz="0" w:space="0" w:color="auto"/>
            <w:left w:val="none" w:sz="0" w:space="0" w:color="auto"/>
            <w:bottom w:val="none" w:sz="0" w:space="0" w:color="auto"/>
            <w:right w:val="none" w:sz="0" w:space="0" w:color="auto"/>
          </w:divBdr>
        </w:div>
        <w:div w:id="58603760">
          <w:marLeft w:val="0"/>
          <w:marRight w:val="0"/>
          <w:marTop w:val="0"/>
          <w:marBottom w:val="0"/>
          <w:divBdr>
            <w:top w:val="none" w:sz="0" w:space="0" w:color="auto"/>
            <w:left w:val="none" w:sz="0" w:space="0" w:color="auto"/>
            <w:bottom w:val="none" w:sz="0" w:space="0" w:color="auto"/>
            <w:right w:val="none" w:sz="0" w:space="0" w:color="auto"/>
          </w:divBdr>
        </w:div>
        <w:div w:id="1891115415">
          <w:marLeft w:val="0"/>
          <w:marRight w:val="0"/>
          <w:marTop w:val="0"/>
          <w:marBottom w:val="0"/>
          <w:divBdr>
            <w:top w:val="none" w:sz="0" w:space="0" w:color="auto"/>
            <w:left w:val="none" w:sz="0" w:space="0" w:color="auto"/>
            <w:bottom w:val="none" w:sz="0" w:space="0" w:color="auto"/>
            <w:right w:val="none" w:sz="0" w:space="0" w:color="auto"/>
          </w:divBdr>
        </w:div>
        <w:div w:id="562762866">
          <w:marLeft w:val="0"/>
          <w:marRight w:val="0"/>
          <w:marTop w:val="0"/>
          <w:marBottom w:val="0"/>
          <w:divBdr>
            <w:top w:val="none" w:sz="0" w:space="0" w:color="auto"/>
            <w:left w:val="none" w:sz="0" w:space="0" w:color="auto"/>
            <w:bottom w:val="none" w:sz="0" w:space="0" w:color="auto"/>
            <w:right w:val="none" w:sz="0" w:space="0" w:color="auto"/>
          </w:divBdr>
        </w:div>
        <w:div w:id="1951231145">
          <w:marLeft w:val="0"/>
          <w:marRight w:val="0"/>
          <w:marTop w:val="0"/>
          <w:marBottom w:val="0"/>
          <w:divBdr>
            <w:top w:val="none" w:sz="0" w:space="0" w:color="auto"/>
            <w:left w:val="none" w:sz="0" w:space="0" w:color="auto"/>
            <w:bottom w:val="none" w:sz="0" w:space="0" w:color="auto"/>
            <w:right w:val="none" w:sz="0" w:space="0" w:color="auto"/>
          </w:divBdr>
        </w:div>
        <w:div w:id="873813634">
          <w:marLeft w:val="0"/>
          <w:marRight w:val="0"/>
          <w:marTop w:val="0"/>
          <w:marBottom w:val="0"/>
          <w:divBdr>
            <w:top w:val="none" w:sz="0" w:space="0" w:color="auto"/>
            <w:left w:val="none" w:sz="0" w:space="0" w:color="auto"/>
            <w:bottom w:val="none" w:sz="0" w:space="0" w:color="auto"/>
            <w:right w:val="none" w:sz="0" w:space="0" w:color="auto"/>
          </w:divBdr>
        </w:div>
        <w:div w:id="1311519461">
          <w:marLeft w:val="0"/>
          <w:marRight w:val="0"/>
          <w:marTop w:val="0"/>
          <w:marBottom w:val="0"/>
          <w:divBdr>
            <w:top w:val="none" w:sz="0" w:space="0" w:color="auto"/>
            <w:left w:val="none" w:sz="0" w:space="0" w:color="auto"/>
            <w:bottom w:val="none" w:sz="0" w:space="0" w:color="auto"/>
            <w:right w:val="none" w:sz="0" w:space="0" w:color="auto"/>
          </w:divBdr>
        </w:div>
        <w:div w:id="428040934">
          <w:marLeft w:val="0"/>
          <w:marRight w:val="0"/>
          <w:marTop w:val="0"/>
          <w:marBottom w:val="0"/>
          <w:divBdr>
            <w:top w:val="none" w:sz="0" w:space="0" w:color="auto"/>
            <w:left w:val="none" w:sz="0" w:space="0" w:color="auto"/>
            <w:bottom w:val="none" w:sz="0" w:space="0" w:color="auto"/>
            <w:right w:val="none" w:sz="0" w:space="0" w:color="auto"/>
          </w:divBdr>
        </w:div>
        <w:div w:id="1104418900">
          <w:marLeft w:val="0"/>
          <w:marRight w:val="0"/>
          <w:marTop w:val="0"/>
          <w:marBottom w:val="0"/>
          <w:divBdr>
            <w:top w:val="none" w:sz="0" w:space="0" w:color="auto"/>
            <w:left w:val="none" w:sz="0" w:space="0" w:color="auto"/>
            <w:bottom w:val="none" w:sz="0" w:space="0" w:color="auto"/>
            <w:right w:val="none" w:sz="0" w:space="0" w:color="auto"/>
          </w:divBdr>
        </w:div>
        <w:div w:id="1886067262">
          <w:marLeft w:val="0"/>
          <w:marRight w:val="0"/>
          <w:marTop w:val="0"/>
          <w:marBottom w:val="0"/>
          <w:divBdr>
            <w:top w:val="none" w:sz="0" w:space="0" w:color="auto"/>
            <w:left w:val="none" w:sz="0" w:space="0" w:color="auto"/>
            <w:bottom w:val="none" w:sz="0" w:space="0" w:color="auto"/>
            <w:right w:val="none" w:sz="0" w:space="0" w:color="auto"/>
          </w:divBdr>
        </w:div>
        <w:div w:id="1423068125">
          <w:marLeft w:val="0"/>
          <w:marRight w:val="0"/>
          <w:marTop w:val="0"/>
          <w:marBottom w:val="0"/>
          <w:divBdr>
            <w:top w:val="none" w:sz="0" w:space="0" w:color="auto"/>
            <w:left w:val="none" w:sz="0" w:space="0" w:color="auto"/>
            <w:bottom w:val="none" w:sz="0" w:space="0" w:color="auto"/>
            <w:right w:val="none" w:sz="0" w:space="0" w:color="auto"/>
          </w:divBdr>
        </w:div>
        <w:div w:id="242380086">
          <w:marLeft w:val="0"/>
          <w:marRight w:val="0"/>
          <w:marTop w:val="0"/>
          <w:marBottom w:val="0"/>
          <w:divBdr>
            <w:top w:val="none" w:sz="0" w:space="0" w:color="auto"/>
            <w:left w:val="none" w:sz="0" w:space="0" w:color="auto"/>
            <w:bottom w:val="none" w:sz="0" w:space="0" w:color="auto"/>
            <w:right w:val="none" w:sz="0" w:space="0" w:color="auto"/>
          </w:divBdr>
        </w:div>
        <w:div w:id="1260529341">
          <w:marLeft w:val="0"/>
          <w:marRight w:val="0"/>
          <w:marTop w:val="0"/>
          <w:marBottom w:val="0"/>
          <w:divBdr>
            <w:top w:val="none" w:sz="0" w:space="0" w:color="auto"/>
            <w:left w:val="none" w:sz="0" w:space="0" w:color="auto"/>
            <w:bottom w:val="none" w:sz="0" w:space="0" w:color="auto"/>
            <w:right w:val="none" w:sz="0" w:space="0" w:color="auto"/>
          </w:divBdr>
        </w:div>
        <w:div w:id="821504527">
          <w:marLeft w:val="0"/>
          <w:marRight w:val="0"/>
          <w:marTop w:val="0"/>
          <w:marBottom w:val="0"/>
          <w:divBdr>
            <w:top w:val="none" w:sz="0" w:space="0" w:color="auto"/>
            <w:left w:val="none" w:sz="0" w:space="0" w:color="auto"/>
            <w:bottom w:val="none" w:sz="0" w:space="0" w:color="auto"/>
            <w:right w:val="none" w:sz="0" w:space="0" w:color="auto"/>
          </w:divBdr>
        </w:div>
        <w:div w:id="300351839">
          <w:marLeft w:val="0"/>
          <w:marRight w:val="0"/>
          <w:marTop w:val="0"/>
          <w:marBottom w:val="0"/>
          <w:divBdr>
            <w:top w:val="none" w:sz="0" w:space="0" w:color="auto"/>
            <w:left w:val="none" w:sz="0" w:space="0" w:color="auto"/>
            <w:bottom w:val="none" w:sz="0" w:space="0" w:color="auto"/>
            <w:right w:val="none" w:sz="0" w:space="0" w:color="auto"/>
          </w:divBdr>
        </w:div>
        <w:div w:id="804814095">
          <w:marLeft w:val="0"/>
          <w:marRight w:val="0"/>
          <w:marTop w:val="0"/>
          <w:marBottom w:val="0"/>
          <w:divBdr>
            <w:top w:val="none" w:sz="0" w:space="0" w:color="auto"/>
            <w:left w:val="none" w:sz="0" w:space="0" w:color="auto"/>
            <w:bottom w:val="none" w:sz="0" w:space="0" w:color="auto"/>
            <w:right w:val="none" w:sz="0" w:space="0" w:color="auto"/>
          </w:divBdr>
        </w:div>
        <w:div w:id="1356078149">
          <w:marLeft w:val="0"/>
          <w:marRight w:val="0"/>
          <w:marTop w:val="0"/>
          <w:marBottom w:val="0"/>
          <w:divBdr>
            <w:top w:val="none" w:sz="0" w:space="0" w:color="auto"/>
            <w:left w:val="none" w:sz="0" w:space="0" w:color="auto"/>
            <w:bottom w:val="none" w:sz="0" w:space="0" w:color="auto"/>
            <w:right w:val="none" w:sz="0" w:space="0" w:color="auto"/>
          </w:divBdr>
        </w:div>
        <w:div w:id="644089612">
          <w:marLeft w:val="0"/>
          <w:marRight w:val="0"/>
          <w:marTop w:val="0"/>
          <w:marBottom w:val="0"/>
          <w:divBdr>
            <w:top w:val="none" w:sz="0" w:space="0" w:color="auto"/>
            <w:left w:val="none" w:sz="0" w:space="0" w:color="auto"/>
            <w:bottom w:val="none" w:sz="0" w:space="0" w:color="auto"/>
            <w:right w:val="none" w:sz="0" w:space="0" w:color="auto"/>
          </w:divBdr>
        </w:div>
        <w:div w:id="1317798861">
          <w:marLeft w:val="0"/>
          <w:marRight w:val="0"/>
          <w:marTop w:val="0"/>
          <w:marBottom w:val="0"/>
          <w:divBdr>
            <w:top w:val="none" w:sz="0" w:space="0" w:color="auto"/>
            <w:left w:val="none" w:sz="0" w:space="0" w:color="auto"/>
            <w:bottom w:val="none" w:sz="0" w:space="0" w:color="auto"/>
            <w:right w:val="none" w:sz="0" w:space="0" w:color="auto"/>
          </w:divBdr>
        </w:div>
        <w:div w:id="1321231327">
          <w:marLeft w:val="0"/>
          <w:marRight w:val="0"/>
          <w:marTop w:val="0"/>
          <w:marBottom w:val="0"/>
          <w:divBdr>
            <w:top w:val="none" w:sz="0" w:space="0" w:color="auto"/>
            <w:left w:val="none" w:sz="0" w:space="0" w:color="auto"/>
            <w:bottom w:val="none" w:sz="0" w:space="0" w:color="auto"/>
            <w:right w:val="none" w:sz="0" w:space="0" w:color="auto"/>
          </w:divBdr>
        </w:div>
        <w:div w:id="296181289">
          <w:marLeft w:val="0"/>
          <w:marRight w:val="0"/>
          <w:marTop w:val="0"/>
          <w:marBottom w:val="0"/>
          <w:divBdr>
            <w:top w:val="none" w:sz="0" w:space="0" w:color="auto"/>
            <w:left w:val="none" w:sz="0" w:space="0" w:color="auto"/>
            <w:bottom w:val="none" w:sz="0" w:space="0" w:color="auto"/>
            <w:right w:val="none" w:sz="0" w:space="0" w:color="auto"/>
          </w:divBdr>
        </w:div>
        <w:div w:id="1756515897">
          <w:marLeft w:val="0"/>
          <w:marRight w:val="0"/>
          <w:marTop w:val="0"/>
          <w:marBottom w:val="0"/>
          <w:divBdr>
            <w:top w:val="none" w:sz="0" w:space="0" w:color="auto"/>
            <w:left w:val="none" w:sz="0" w:space="0" w:color="auto"/>
            <w:bottom w:val="none" w:sz="0" w:space="0" w:color="auto"/>
            <w:right w:val="none" w:sz="0" w:space="0" w:color="auto"/>
          </w:divBdr>
        </w:div>
        <w:div w:id="137918388">
          <w:marLeft w:val="0"/>
          <w:marRight w:val="0"/>
          <w:marTop w:val="0"/>
          <w:marBottom w:val="0"/>
          <w:divBdr>
            <w:top w:val="none" w:sz="0" w:space="0" w:color="auto"/>
            <w:left w:val="none" w:sz="0" w:space="0" w:color="auto"/>
            <w:bottom w:val="none" w:sz="0" w:space="0" w:color="auto"/>
            <w:right w:val="none" w:sz="0" w:space="0" w:color="auto"/>
          </w:divBdr>
        </w:div>
        <w:div w:id="1544487067">
          <w:marLeft w:val="0"/>
          <w:marRight w:val="0"/>
          <w:marTop w:val="0"/>
          <w:marBottom w:val="0"/>
          <w:divBdr>
            <w:top w:val="none" w:sz="0" w:space="0" w:color="auto"/>
            <w:left w:val="none" w:sz="0" w:space="0" w:color="auto"/>
            <w:bottom w:val="none" w:sz="0" w:space="0" w:color="auto"/>
            <w:right w:val="none" w:sz="0" w:space="0" w:color="auto"/>
          </w:divBdr>
        </w:div>
        <w:div w:id="891115128">
          <w:marLeft w:val="0"/>
          <w:marRight w:val="0"/>
          <w:marTop w:val="0"/>
          <w:marBottom w:val="0"/>
          <w:divBdr>
            <w:top w:val="none" w:sz="0" w:space="0" w:color="auto"/>
            <w:left w:val="none" w:sz="0" w:space="0" w:color="auto"/>
            <w:bottom w:val="none" w:sz="0" w:space="0" w:color="auto"/>
            <w:right w:val="none" w:sz="0" w:space="0" w:color="auto"/>
          </w:divBdr>
        </w:div>
        <w:div w:id="1294410823">
          <w:marLeft w:val="0"/>
          <w:marRight w:val="0"/>
          <w:marTop w:val="0"/>
          <w:marBottom w:val="0"/>
          <w:divBdr>
            <w:top w:val="none" w:sz="0" w:space="0" w:color="auto"/>
            <w:left w:val="none" w:sz="0" w:space="0" w:color="auto"/>
            <w:bottom w:val="none" w:sz="0" w:space="0" w:color="auto"/>
            <w:right w:val="none" w:sz="0" w:space="0" w:color="auto"/>
          </w:divBdr>
        </w:div>
        <w:div w:id="1542403866">
          <w:marLeft w:val="0"/>
          <w:marRight w:val="0"/>
          <w:marTop w:val="0"/>
          <w:marBottom w:val="0"/>
          <w:divBdr>
            <w:top w:val="none" w:sz="0" w:space="0" w:color="auto"/>
            <w:left w:val="none" w:sz="0" w:space="0" w:color="auto"/>
            <w:bottom w:val="none" w:sz="0" w:space="0" w:color="auto"/>
            <w:right w:val="none" w:sz="0" w:space="0" w:color="auto"/>
          </w:divBdr>
        </w:div>
        <w:div w:id="1918784728">
          <w:marLeft w:val="0"/>
          <w:marRight w:val="0"/>
          <w:marTop w:val="0"/>
          <w:marBottom w:val="0"/>
          <w:divBdr>
            <w:top w:val="none" w:sz="0" w:space="0" w:color="auto"/>
            <w:left w:val="none" w:sz="0" w:space="0" w:color="auto"/>
            <w:bottom w:val="none" w:sz="0" w:space="0" w:color="auto"/>
            <w:right w:val="none" w:sz="0" w:space="0" w:color="auto"/>
          </w:divBdr>
        </w:div>
        <w:div w:id="1893731860">
          <w:marLeft w:val="0"/>
          <w:marRight w:val="0"/>
          <w:marTop w:val="0"/>
          <w:marBottom w:val="0"/>
          <w:divBdr>
            <w:top w:val="none" w:sz="0" w:space="0" w:color="auto"/>
            <w:left w:val="none" w:sz="0" w:space="0" w:color="auto"/>
            <w:bottom w:val="none" w:sz="0" w:space="0" w:color="auto"/>
            <w:right w:val="none" w:sz="0" w:space="0" w:color="auto"/>
          </w:divBdr>
        </w:div>
        <w:div w:id="762842121">
          <w:marLeft w:val="0"/>
          <w:marRight w:val="0"/>
          <w:marTop w:val="0"/>
          <w:marBottom w:val="0"/>
          <w:divBdr>
            <w:top w:val="none" w:sz="0" w:space="0" w:color="auto"/>
            <w:left w:val="none" w:sz="0" w:space="0" w:color="auto"/>
            <w:bottom w:val="none" w:sz="0" w:space="0" w:color="auto"/>
            <w:right w:val="none" w:sz="0" w:space="0" w:color="auto"/>
          </w:divBdr>
        </w:div>
        <w:div w:id="1081147522">
          <w:marLeft w:val="0"/>
          <w:marRight w:val="0"/>
          <w:marTop w:val="0"/>
          <w:marBottom w:val="0"/>
          <w:divBdr>
            <w:top w:val="none" w:sz="0" w:space="0" w:color="auto"/>
            <w:left w:val="none" w:sz="0" w:space="0" w:color="auto"/>
            <w:bottom w:val="none" w:sz="0" w:space="0" w:color="auto"/>
            <w:right w:val="none" w:sz="0" w:space="0" w:color="auto"/>
          </w:divBdr>
        </w:div>
        <w:div w:id="1933076738">
          <w:marLeft w:val="0"/>
          <w:marRight w:val="0"/>
          <w:marTop w:val="0"/>
          <w:marBottom w:val="0"/>
          <w:divBdr>
            <w:top w:val="none" w:sz="0" w:space="0" w:color="auto"/>
            <w:left w:val="none" w:sz="0" w:space="0" w:color="auto"/>
            <w:bottom w:val="none" w:sz="0" w:space="0" w:color="auto"/>
            <w:right w:val="none" w:sz="0" w:space="0" w:color="auto"/>
          </w:divBdr>
        </w:div>
        <w:div w:id="448285317">
          <w:marLeft w:val="0"/>
          <w:marRight w:val="0"/>
          <w:marTop w:val="0"/>
          <w:marBottom w:val="0"/>
          <w:divBdr>
            <w:top w:val="none" w:sz="0" w:space="0" w:color="auto"/>
            <w:left w:val="none" w:sz="0" w:space="0" w:color="auto"/>
            <w:bottom w:val="none" w:sz="0" w:space="0" w:color="auto"/>
            <w:right w:val="none" w:sz="0" w:space="0" w:color="auto"/>
          </w:divBdr>
        </w:div>
        <w:div w:id="1555384037">
          <w:marLeft w:val="0"/>
          <w:marRight w:val="0"/>
          <w:marTop w:val="0"/>
          <w:marBottom w:val="0"/>
          <w:divBdr>
            <w:top w:val="none" w:sz="0" w:space="0" w:color="auto"/>
            <w:left w:val="none" w:sz="0" w:space="0" w:color="auto"/>
            <w:bottom w:val="none" w:sz="0" w:space="0" w:color="auto"/>
            <w:right w:val="none" w:sz="0" w:space="0" w:color="auto"/>
          </w:divBdr>
        </w:div>
        <w:div w:id="1243442938">
          <w:marLeft w:val="0"/>
          <w:marRight w:val="0"/>
          <w:marTop w:val="0"/>
          <w:marBottom w:val="0"/>
          <w:divBdr>
            <w:top w:val="none" w:sz="0" w:space="0" w:color="auto"/>
            <w:left w:val="none" w:sz="0" w:space="0" w:color="auto"/>
            <w:bottom w:val="none" w:sz="0" w:space="0" w:color="auto"/>
            <w:right w:val="none" w:sz="0" w:space="0" w:color="auto"/>
          </w:divBdr>
        </w:div>
      </w:divsChild>
    </w:div>
    <w:div w:id="1549955615">
      <w:bodyDiv w:val="1"/>
      <w:marLeft w:val="0"/>
      <w:marRight w:val="0"/>
      <w:marTop w:val="0"/>
      <w:marBottom w:val="0"/>
      <w:divBdr>
        <w:top w:val="none" w:sz="0" w:space="0" w:color="auto"/>
        <w:left w:val="none" w:sz="0" w:space="0" w:color="auto"/>
        <w:bottom w:val="none" w:sz="0" w:space="0" w:color="auto"/>
        <w:right w:val="none" w:sz="0" w:space="0" w:color="auto"/>
      </w:divBdr>
      <w:divsChild>
        <w:div w:id="1371953196">
          <w:marLeft w:val="0"/>
          <w:marRight w:val="0"/>
          <w:marTop w:val="0"/>
          <w:marBottom w:val="0"/>
          <w:divBdr>
            <w:top w:val="none" w:sz="0" w:space="0" w:color="auto"/>
            <w:left w:val="none" w:sz="0" w:space="0" w:color="auto"/>
            <w:bottom w:val="none" w:sz="0" w:space="0" w:color="auto"/>
            <w:right w:val="none" w:sz="0" w:space="0" w:color="auto"/>
          </w:divBdr>
        </w:div>
        <w:div w:id="645011229">
          <w:marLeft w:val="0"/>
          <w:marRight w:val="0"/>
          <w:marTop w:val="0"/>
          <w:marBottom w:val="0"/>
          <w:divBdr>
            <w:top w:val="none" w:sz="0" w:space="0" w:color="auto"/>
            <w:left w:val="none" w:sz="0" w:space="0" w:color="auto"/>
            <w:bottom w:val="none" w:sz="0" w:space="0" w:color="auto"/>
            <w:right w:val="none" w:sz="0" w:space="0" w:color="auto"/>
          </w:divBdr>
        </w:div>
        <w:div w:id="1108239281">
          <w:marLeft w:val="0"/>
          <w:marRight w:val="0"/>
          <w:marTop w:val="0"/>
          <w:marBottom w:val="0"/>
          <w:divBdr>
            <w:top w:val="none" w:sz="0" w:space="0" w:color="auto"/>
            <w:left w:val="none" w:sz="0" w:space="0" w:color="auto"/>
            <w:bottom w:val="none" w:sz="0" w:space="0" w:color="auto"/>
            <w:right w:val="none" w:sz="0" w:space="0" w:color="auto"/>
          </w:divBdr>
        </w:div>
        <w:div w:id="454451202">
          <w:marLeft w:val="0"/>
          <w:marRight w:val="0"/>
          <w:marTop w:val="0"/>
          <w:marBottom w:val="0"/>
          <w:divBdr>
            <w:top w:val="none" w:sz="0" w:space="0" w:color="auto"/>
            <w:left w:val="none" w:sz="0" w:space="0" w:color="auto"/>
            <w:bottom w:val="none" w:sz="0" w:space="0" w:color="auto"/>
            <w:right w:val="none" w:sz="0" w:space="0" w:color="auto"/>
          </w:divBdr>
        </w:div>
        <w:div w:id="1302728806">
          <w:marLeft w:val="0"/>
          <w:marRight w:val="0"/>
          <w:marTop w:val="0"/>
          <w:marBottom w:val="0"/>
          <w:divBdr>
            <w:top w:val="none" w:sz="0" w:space="0" w:color="auto"/>
            <w:left w:val="none" w:sz="0" w:space="0" w:color="auto"/>
            <w:bottom w:val="none" w:sz="0" w:space="0" w:color="auto"/>
            <w:right w:val="none" w:sz="0" w:space="0" w:color="auto"/>
          </w:divBdr>
        </w:div>
        <w:div w:id="587930849">
          <w:marLeft w:val="0"/>
          <w:marRight w:val="0"/>
          <w:marTop w:val="0"/>
          <w:marBottom w:val="0"/>
          <w:divBdr>
            <w:top w:val="none" w:sz="0" w:space="0" w:color="auto"/>
            <w:left w:val="none" w:sz="0" w:space="0" w:color="auto"/>
            <w:bottom w:val="none" w:sz="0" w:space="0" w:color="auto"/>
            <w:right w:val="none" w:sz="0" w:space="0" w:color="auto"/>
          </w:divBdr>
        </w:div>
        <w:div w:id="1630545816">
          <w:marLeft w:val="0"/>
          <w:marRight w:val="0"/>
          <w:marTop w:val="0"/>
          <w:marBottom w:val="0"/>
          <w:divBdr>
            <w:top w:val="none" w:sz="0" w:space="0" w:color="auto"/>
            <w:left w:val="none" w:sz="0" w:space="0" w:color="auto"/>
            <w:bottom w:val="none" w:sz="0" w:space="0" w:color="auto"/>
            <w:right w:val="none" w:sz="0" w:space="0" w:color="auto"/>
          </w:divBdr>
        </w:div>
        <w:div w:id="46227811">
          <w:marLeft w:val="0"/>
          <w:marRight w:val="0"/>
          <w:marTop w:val="0"/>
          <w:marBottom w:val="0"/>
          <w:divBdr>
            <w:top w:val="none" w:sz="0" w:space="0" w:color="auto"/>
            <w:left w:val="none" w:sz="0" w:space="0" w:color="auto"/>
            <w:bottom w:val="none" w:sz="0" w:space="0" w:color="auto"/>
            <w:right w:val="none" w:sz="0" w:space="0" w:color="auto"/>
          </w:divBdr>
        </w:div>
        <w:div w:id="879786773">
          <w:marLeft w:val="0"/>
          <w:marRight w:val="0"/>
          <w:marTop w:val="0"/>
          <w:marBottom w:val="0"/>
          <w:divBdr>
            <w:top w:val="none" w:sz="0" w:space="0" w:color="auto"/>
            <w:left w:val="none" w:sz="0" w:space="0" w:color="auto"/>
            <w:bottom w:val="none" w:sz="0" w:space="0" w:color="auto"/>
            <w:right w:val="none" w:sz="0" w:space="0" w:color="auto"/>
          </w:divBdr>
        </w:div>
        <w:div w:id="2022513530">
          <w:marLeft w:val="0"/>
          <w:marRight w:val="0"/>
          <w:marTop w:val="0"/>
          <w:marBottom w:val="0"/>
          <w:divBdr>
            <w:top w:val="none" w:sz="0" w:space="0" w:color="auto"/>
            <w:left w:val="none" w:sz="0" w:space="0" w:color="auto"/>
            <w:bottom w:val="none" w:sz="0" w:space="0" w:color="auto"/>
            <w:right w:val="none" w:sz="0" w:space="0" w:color="auto"/>
          </w:divBdr>
        </w:div>
        <w:div w:id="796339099">
          <w:marLeft w:val="0"/>
          <w:marRight w:val="0"/>
          <w:marTop w:val="0"/>
          <w:marBottom w:val="0"/>
          <w:divBdr>
            <w:top w:val="none" w:sz="0" w:space="0" w:color="auto"/>
            <w:left w:val="none" w:sz="0" w:space="0" w:color="auto"/>
            <w:bottom w:val="none" w:sz="0" w:space="0" w:color="auto"/>
            <w:right w:val="none" w:sz="0" w:space="0" w:color="auto"/>
          </w:divBdr>
        </w:div>
        <w:div w:id="2073848932">
          <w:marLeft w:val="0"/>
          <w:marRight w:val="0"/>
          <w:marTop w:val="0"/>
          <w:marBottom w:val="0"/>
          <w:divBdr>
            <w:top w:val="none" w:sz="0" w:space="0" w:color="auto"/>
            <w:left w:val="none" w:sz="0" w:space="0" w:color="auto"/>
            <w:bottom w:val="none" w:sz="0" w:space="0" w:color="auto"/>
            <w:right w:val="none" w:sz="0" w:space="0" w:color="auto"/>
          </w:divBdr>
        </w:div>
        <w:div w:id="1534687429">
          <w:marLeft w:val="0"/>
          <w:marRight w:val="0"/>
          <w:marTop w:val="0"/>
          <w:marBottom w:val="0"/>
          <w:divBdr>
            <w:top w:val="none" w:sz="0" w:space="0" w:color="auto"/>
            <w:left w:val="none" w:sz="0" w:space="0" w:color="auto"/>
            <w:bottom w:val="none" w:sz="0" w:space="0" w:color="auto"/>
            <w:right w:val="none" w:sz="0" w:space="0" w:color="auto"/>
          </w:divBdr>
        </w:div>
        <w:div w:id="1488473037">
          <w:marLeft w:val="0"/>
          <w:marRight w:val="0"/>
          <w:marTop w:val="0"/>
          <w:marBottom w:val="0"/>
          <w:divBdr>
            <w:top w:val="none" w:sz="0" w:space="0" w:color="auto"/>
            <w:left w:val="none" w:sz="0" w:space="0" w:color="auto"/>
            <w:bottom w:val="none" w:sz="0" w:space="0" w:color="auto"/>
            <w:right w:val="none" w:sz="0" w:space="0" w:color="auto"/>
          </w:divBdr>
        </w:div>
        <w:div w:id="506093737">
          <w:marLeft w:val="0"/>
          <w:marRight w:val="0"/>
          <w:marTop w:val="0"/>
          <w:marBottom w:val="0"/>
          <w:divBdr>
            <w:top w:val="none" w:sz="0" w:space="0" w:color="auto"/>
            <w:left w:val="none" w:sz="0" w:space="0" w:color="auto"/>
            <w:bottom w:val="none" w:sz="0" w:space="0" w:color="auto"/>
            <w:right w:val="none" w:sz="0" w:space="0" w:color="auto"/>
          </w:divBdr>
        </w:div>
        <w:div w:id="1545286152">
          <w:marLeft w:val="0"/>
          <w:marRight w:val="0"/>
          <w:marTop w:val="0"/>
          <w:marBottom w:val="0"/>
          <w:divBdr>
            <w:top w:val="none" w:sz="0" w:space="0" w:color="auto"/>
            <w:left w:val="none" w:sz="0" w:space="0" w:color="auto"/>
            <w:bottom w:val="none" w:sz="0" w:space="0" w:color="auto"/>
            <w:right w:val="none" w:sz="0" w:space="0" w:color="auto"/>
          </w:divBdr>
        </w:div>
        <w:div w:id="45109084">
          <w:marLeft w:val="0"/>
          <w:marRight w:val="0"/>
          <w:marTop w:val="0"/>
          <w:marBottom w:val="0"/>
          <w:divBdr>
            <w:top w:val="none" w:sz="0" w:space="0" w:color="auto"/>
            <w:left w:val="none" w:sz="0" w:space="0" w:color="auto"/>
            <w:bottom w:val="none" w:sz="0" w:space="0" w:color="auto"/>
            <w:right w:val="none" w:sz="0" w:space="0" w:color="auto"/>
          </w:divBdr>
        </w:div>
        <w:div w:id="227960337">
          <w:marLeft w:val="0"/>
          <w:marRight w:val="0"/>
          <w:marTop w:val="0"/>
          <w:marBottom w:val="0"/>
          <w:divBdr>
            <w:top w:val="none" w:sz="0" w:space="0" w:color="auto"/>
            <w:left w:val="none" w:sz="0" w:space="0" w:color="auto"/>
            <w:bottom w:val="none" w:sz="0" w:space="0" w:color="auto"/>
            <w:right w:val="none" w:sz="0" w:space="0" w:color="auto"/>
          </w:divBdr>
        </w:div>
        <w:div w:id="1223443357">
          <w:marLeft w:val="0"/>
          <w:marRight w:val="0"/>
          <w:marTop w:val="0"/>
          <w:marBottom w:val="0"/>
          <w:divBdr>
            <w:top w:val="none" w:sz="0" w:space="0" w:color="auto"/>
            <w:left w:val="none" w:sz="0" w:space="0" w:color="auto"/>
            <w:bottom w:val="none" w:sz="0" w:space="0" w:color="auto"/>
            <w:right w:val="none" w:sz="0" w:space="0" w:color="auto"/>
          </w:divBdr>
        </w:div>
        <w:div w:id="1920409540">
          <w:marLeft w:val="0"/>
          <w:marRight w:val="0"/>
          <w:marTop w:val="0"/>
          <w:marBottom w:val="0"/>
          <w:divBdr>
            <w:top w:val="none" w:sz="0" w:space="0" w:color="auto"/>
            <w:left w:val="none" w:sz="0" w:space="0" w:color="auto"/>
            <w:bottom w:val="none" w:sz="0" w:space="0" w:color="auto"/>
            <w:right w:val="none" w:sz="0" w:space="0" w:color="auto"/>
          </w:divBdr>
        </w:div>
        <w:div w:id="1059016554">
          <w:marLeft w:val="0"/>
          <w:marRight w:val="0"/>
          <w:marTop w:val="0"/>
          <w:marBottom w:val="0"/>
          <w:divBdr>
            <w:top w:val="none" w:sz="0" w:space="0" w:color="auto"/>
            <w:left w:val="none" w:sz="0" w:space="0" w:color="auto"/>
            <w:bottom w:val="none" w:sz="0" w:space="0" w:color="auto"/>
            <w:right w:val="none" w:sz="0" w:space="0" w:color="auto"/>
          </w:divBdr>
        </w:div>
        <w:div w:id="880901396">
          <w:marLeft w:val="0"/>
          <w:marRight w:val="0"/>
          <w:marTop w:val="0"/>
          <w:marBottom w:val="0"/>
          <w:divBdr>
            <w:top w:val="none" w:sz="0" w:space="0" w:color="auto"/>
            <w:left w:val="none" w:sz="0" w:space="0" w:color="auto"/>
            <w:bottom w:val="none" w:sz="0" w:space="0" w:color="auto"/>
            <w:right w:val="none" w:sz="0" w:space="0" w:color="auto"/>
          </w:divBdr>
        </w:div>
        <w:div w:id="541865834">
          <w:marLeft w:val="0"/>
          <w:marRight w:val="0"/>
          <w:marTop w:val="0"/>
          <w:marBottom w:val="0"/>
          <w:divBdr>
            <w:top w:val="none" w:sz="0" w:space="0" w:color="auto"/>
            <w:left w:val="none" w:sz="0" w:space="0" w:color="auto"/>
            <w:bottom w:val="none" w:sz="0" w:space="0" w:color="auto"/>
            <w:right w:val="none" w:sz="0" w:space="0" w:color="auto"/>
          </w:divBdr>
        </w:div>
        <w:div w:id="94062754">
          <w:marLeft w:val="0"/>
          <w:marRight w:val="0"/>
          <w:marTop w:val="0"/>
          <w:marBottom w:val="0"/>
          <w:divBdr>
            <w:top w:val="none" w:sz="0" w:space="0" w:color="auto"/>
            <w:left w:val="none" w:sz="0" w:space="0" w:color="auto"/>
            <w:bottom w:val="none" w:sz="0" w:space="0" w:color="auto"/>
            <w:right w:val="none" w:sz="0" w:space="0" w:color="auto"/>
          </w:divBdr>
        </w:div>
        <w:div w:id="405223480">
          <w:marLeft w:val="0"/>
          <w:marRight w:val="0"/>
          <w:marTop w:val="0"/>
          <w:marBottom w:val="0"/>
          <w:divBdr>
            <w:top w:val="none" w:sz="0" w:space="0" w:color="auto"/>
            <w:left w:val="none" w:sz="0" w:space="0" w:color="auto"/>
            <w:bottom w:val="none" w:sz="0" w:space="0" w:color="auto"/>
            <w:right w:val="none" w:sz="0" w:space="0" w:color="auto"/>
          </w:divBdr>
        </w:div>
        <w:div w:id="1126436167">
          <w:marLeft w:val="0"/>
          <w:marRight w:val="0"/>
          <w:marTop w:val="0"/>
          <w:marBottom w:val="0"/>
          <w:divBdr>
            <w:top w:val="none" w:sz="0" w:space="0" w:color="auto"/>
            <w:left w:val="none" w:sz="0" w:space="0" w:color="auto"/>
            <w:bottom w:val="none" w:sz="0" w:space="0" w:color="auto"/>
            <w:right w:val="none" w:sz="0" w:space="0" w:color="auto"/>
          </w:divBdr>
        </w:div>
        <w:div w:id="2066831885">
          <w:marLeft w:val="0"/>
          <w:marRight w:val="0"/>
          <w:marTop w:val="0"/>
          <w:marBottom w:val="0"/>
          <w:divBdr>
            <w:top w:val="none" w:sz="0" w:space="0" w:color="auto"/>
            <w:left w:val="none" w:sz="0" w:space="0" w:color="auto"/>
            <w:bottom w:val="none" w:sz="0" w:space="0" w:color="auto"/>
            <w:right w:val="none" w:sz="0" w:space="0" w:color="auto"/>
          </w:divBdr>
        </w:div>
        <w:div w:id="1251038167">
          <w:marLeft w:val="0"/>
          <w:marRight w:val="0"/>
          <w:marTop w:val="0"/>
          <w:marBottom w:val="0"/>
          <w:divBdr>
            <w:top w:val="none" w:sz="0" w:space="0" w:color="auto"/>
            <w:left w:val="none" w:sz="0" w:space="0" w:color="auto"/>
            <w:bottom w:val="none" w:sz="0" w:space="0" w:color="auto"/>
            <w:right w:val="none" w:sz="0" w:space="0" w:color="auto"/>
          </w:divBdr>
        </w:div>
        <w:div w:id="174152249">
          <w:marLeft w:val="0"/>
          <w:marRight w:val="0"/>
          <w:marTop w:val="0"/>
          <w:marBottom w:val="0"/>
          <w:divBdr>
            <w:top w:val="none" w:sz="0" w:space="0" w:color="auto"/>
            <w:left w:val="none" w:sz="0" w:space="0" w:color="auto"/>
            <w:bottom w:val="none" w:sz="0" w:space="0" w:color="auto"/>
            <w:right w:val="none" w:sz="0" w:space="0" w:color="auto"/>
          </w:divBdr>
        </w:div>
        <w:div w:id="1734504542">
          <w:marLeft w:val="0"/>
          <w:marRight w:val="0"/>
          <w:marTop w:val="0"/>
          <w:marBottom w:val="0"/>
          <w:divBdr>
            <w:top w:val="none" w:sz="0" w:space="0" w:color="auto"/>
            <w:left w:val="none" w:sz="0" w:space="0" w:color="auto"/>
            <w:bottom w:val="none" w:sz="0" w:space="0" w:color="auto"/>
            <w:right w:val="none" w:sz="0" w:space="0" w:color="auto"/>
          </w:divBdr>
        </w:div>
        <w:div w:id="1945961433">
          <w:marLeft w:val="0"/>
          <w:marRight w:val="0"/>
          <w:marTop w:val="0"/>
          <w:marBottom w:val="0"/>
          <w:divBdr>
            <w:top w:val="none" w:sz="0" w:space="0" w:color="auto"/>
            <w:left w:val="none" w:sz="0" w:space="0" w:color="auto"/>
            <w:bottom w:val="none" w:sz="0" w:space="0" w:color="auto"/>
            <w:right w:val="none" w:sz="0" w:space="0" w:color="auto"/>
          </w:divBdr>
        </w:div>
        <w:div w:id="477575307">
          <w:marLeft w:val="0"/>
          <w:marRight w:val="0"/>
          <w:marTop w:val="0"/>
          <w:marBottom w:val="0"/>
          <w:divBdr>
            <w:top w:val="none" w:sz="0" w:space="0" w:color="auto"/>
            <w:left w:val="none" w:sz="0" w:space="0" w:color="auto"/>
            <w:bottom w:val="none" w:sz="0" w:space="0" w:color="auto"/>
            <w:right w:val="none" w:sz="0" w:space="0" w:color="auto"/>
          </w:divBdr>
        </w:div>
        <w:div w:id="877084855">
          <w:marLeft w:val="0"/>
          <w:marRight w:val="0"/>
          <w:marTop w:val="0"/>
          <w:marBottom w:val="0"/>
          <w:divBdr>
            <w:top w:val="none" w:sz="0" w:space="0" w:color="auto"/>
            <w:left w:val="none" w:sz="0" w:space="0" w:color="auto"/>
            <w:bottom w:val="none" w:sz="0" w:space="0" w:color="auto"/>
            <w:right w:val="none" w:sz="0" w:space="0" w:color="auto"/>
          </w:divBdr>
        </w:div>
        <w:div w:id="945119058">
          <w:marLeft w:val="0"/>
          <w:marRight w:val="0"/>
          <w:marTop w:val="0"/>
          <w:marBottom w:val="0"/>
          <w:divBdr>
            <w:top w:val="none" w:sz="0" w:space="0" w:color="auto"/>
            <w:left w:val="none" w:sz="0" w:space="0" w:color="auto"/>
            <w:bottom w:val="none" w:sz="0" w:space="0" w:color="auto"/>
            <w:right w:val="none" w:sz="0" w:space="0" w:color="auto"/>
          </w:divBdr>
        </w:div>
        <w:div w:id="1792625461">
          <w:marLeft w:val="0"/>
          <w:marRight w:val="0"/>
          <w:marTop w:val="0"/>
          <w:marBottom w:val="0"/>
          <w:divBdr>
            <w:top w:val="none" w:sz="0" w:space="0" w:color="auto"/>
            <w:left w:val="none" w:sz="0" w:space="0" w:color="auto"/>
            <w:bottom w:val="none" w:sz="0" w:space="0" w:color="auto"/>
            <w:right w:val="none" w:sz="0" w:space="0" w:color="auto"/>
          </w:divBdr>
        </w:div>
        <w:div w:id="1416050118">
          <w:marLeft w:val="0"/>
          <w:marRight w:val="0"/>
          <w:marTop w:val="0"/>
          <w:marBottom w:val="0"/>
          <w:divBdr>
            <w:top w:val="none" w:sz="0" w:space="0" w:color="auto"/>
            <w:left w:val="none" w:sz="0" w:space="0" w:color="auto"/>
            <w:bottom w:val="none" w:sz="0" w:space="0" w:color="auto"/>
            <w:right w:val="none" w:sz="0" w:space="0" w:color="auto"/>
          </w:divBdr>
        </w:div>
        <w:div w:id="134833842">
          <w:marLeft w:val="0"/>
          <w:marRight w:val="0"/>
          <w:marTop w:val="0"/>
          <w:marBottom w:val="0"/>
          <w:divBdr>
            <w:top w:val="none" w:sz="0" w:space="0" w:color="auto"/>
            <w:left w:val="none" w:sz="0" w:space="0" w:color="auto"/>
            <w:bottom w:val="none" w:sz="0" w:space="0" w:color="auto"/>
            <w:right w:val="none" w:sz="0" w:space="0" w:color="auto"/>
          </w:divBdr>
        </w:div>
        <w:div w:id="1909148827">
          <w:marLeft w:val="0"/>
          <w:marRight w:val="0"/>
          <w:marTop w:val="0"/>
          <w:marBottom w:val="0"/>
          <w:divBdr>
            <w:top w:val="none" w:sz="0" w:space="0" w:color="auto"/>
            <w:left w:val="none" w:sz="0" w:space="0" w:color="auto"/>
            <w:bottom w:val="none" w:sz="0" w:space="0" w:color="auto"/>
            <w:right w:val="none" w:sz="0" w:space="0" w:color="auto"/>
          </w:divBdr>
        </w:div>
        <w:div w:id="1967853425">
          <w:marLeft w:val="0"/>
          <w:marRight w:val="0"/>
          <w:marTop w:val="0"/>
          <w:marBottom w:val="0"/>
          <w:divBdr>
            <w:top w:val="none" w:sz="0" w:space="0" w:color="auto"/>
            <w:left w:val="none" w:sz="0" w:space="0" w:color="auto"/>
            <w:bottom w:val="none" w:sz="0" w:space="0" w:color="auto"/>
            <w:right w:val="none" w:sz="0" w:space="0" w:color="auto"/>
          </w:divBdr>
        </w:div>
        <w:div w:id="15497864">
          <w:marLeft w:val="0"/>
          <w:marRight w:val="0"/>
          <w:marTop w:val="0"/>
          <w:marBottom w:val="0"/>
          <w:divBdr>
            <w:top w:val="none" w:sz="0" w:space="0" w:color="auto"/>
            <w:left w:val="none" w:sz="0" w:space="0" w:color="auto"/>
            <w:bottom w:val="none" w:sz="0" w:space="0" w:color="auto"/>
            <w:right w:val="none" w:sz="0" w:space="0" w:color="auto"/>
          </w:divBdr>
        </w:div>
        <w:div w:id="1323239953">
          <w:marLeft w:val="0"/>
          <w:marRight w:val="0"/>
          <w:marTop w:val="0"/>
          <w:marBottom w:val="0"/>
          <w:divBdr>
            <w:top w:val="none" w:sz="0" w:space="0" w:color="auto"/>
            <w:left w:val="none" w:sz="0" w:space="0" w:color="auto"/>
            <w:bottom w:val="none" w:sz="0" w:space="0" w:color="auto"/>
            <w:right w:val="none" w:sz="0" w:space="0" w:color="auto"/>
          </w:divBdr>
        </w:div>
        <w:div w:id="1153182718">
          <w:marLeft w:val="0"/>
          <w:marRight w:val="0"/>
          <w:marTop w:val="0"/>
          <w:marBottom w:val="0"/>
          <w:divBdr>
            <w:top w:val="none" w:sz="0" w:space="0" w:color="auto"/>
            <w:left w:val="none" w:sz="0" w:space="0" w:color="auto"/>
            <w:bottom w:val="none" w:sz="0" w:space="0" w:color="auto"/>
            <w:right w:val="none" w:sz="0" w:space="0" w:color="auto"/>
          </w:divBdr>
        </w:div>
        <w:div w:id="889075147">
          <w:marLeft w:val="0"/>
          <w:marRight w:val="0"/>
          <w:marTop w:val="0"/>
          <w:marBottom w:val="0"/>
          <w:divBdr>
            <w:top w:val="none" w:sz="0" w:space="0" w:color="auto"/>
            <w:left w:val="none" w:sz="0" w:space="0" w:color="auto"/>
            <w:bottom w:val="none" w:sz="0" w:space="0" w:color="auto"/>
            <w:right w:val="none" w:sz="0" w:space="0" w:color="auto"/>
          </w:divBdr>
        </w:div>
        <w:div w:id="1473211585">
          <w:marLeft w:val="0"/>
          <w:marRight w:val="0"/>
          <w:marTop w:val="0"/>
          <w:marBottom w:val="0"/>
          <w:divBdr>
            <w:top w:val="none" w:sz="0" w:space="0" w:color="auto"/>
            <w:left w:val="none" w:sz="0" w:space="0" w:color="auto"/>
            <w:bottom w:val="none" w:sz="0" w:space="0" w:color="auto"/>
            <w:right w:val="none" w:sz="0" w:space="0" w:color="auto"/>
          </w:divBdr>
        </w:div>
        <w:div w:id="1227037295">
          <w:marLeft w:val="0"/>
          <w:marRight w:val="0"/>
          <w:marTop w:val="0"/>
          <w:marBottom w:val="0"/>
          <w:divBdr>
            <w:top w:val="none" w:sz="0" w:space="0" w:color="auto"/>
            <w:left w:val="none" w:sz="0" w:space="0" w:color="auto"/>
            <w:bottom w:val="none" w:sz="0" w:space="0" w:color="auto"/>
            <w:right w:val="none" w:sz="0" w:space="0" w:color="auto"/>
          </w:divBdr>
        </w:div>
        <w:div w:id="316347896">
          <w:marLeft w:val="0"/>
          <w:marRight w:val="0"/>
          <w:marTop w:val="0"/>
          <w:marBottom w:val="0"/>
          <w:divBdr>
            <w:top w:val="none" w:sz="0" w:space="0" w:color="auto"/>
            <w:left w:val="none" w:sz="0" w:space="0" w:color="auto"/>
            <w:bottom w:val="none" w:sz="0" w:space="0" w:color="auto"/>
            <w:right w:val="none" w:sz="0" w:space="0" w:color="auto"/>
          </w:divBdr>
        </w:div>
        <w:div w:id="1597052880">
          <w:marLeft w:val="0"/>
          <w:marRight w:val="0"/>
          <w:marTop w:val="0"/>
          <w:marBottom w:val="0"/>
          <w:divBdr>
            <w:top w:val="none" w:sz="0" w:space="0" w:color="auto"/>
            <w:left w:val="none" w:sz="0" w:space="0" w:color="auto"/>
            <w:bottom w:val="none" w:sz="0" w:space="0" w:color="auto"/>
            <w:right w:val="none" w:sz="0" w:space="0" w:color="auto"/>
          </w:divBdr>
        </w:div>
        <w:div w:id="69499220">
          <w:marLeft w:val="0"/>
          <w:marRight w:val="0"/>
          <w:marTop w:val="0"/>
          <w:marBottom w:val="0"/>
          <w:divBdr>
            <w:top w:val="none" w:sz="0" w:space="0" w:color="auto"/>
            <w:left w:val="none" w:sz="0" w:space="0" w:color="auto"/>
            <w:bottom w:val="none" w:sz="0" w:space="0" w:color="auto"/>
            <w:right w:val="none" w:sz="0" w:space="0" w:color="auto"/>
          </w:divBdr>
        </w:div>
        <w:div w:id="1057972830">
          <w:marLeft w:val="0"/>
          <w:marRight w:val="0"/>
          <w:marTop w:val="0"/>
          <w:marBottom w:val="0"/>
          <w:divBdr>
            <w:top w:val="none" w:sz="0" w:space="0" w:color="auto"/>
            <w:left w:val="none" w:sz="0" w:space="0" w:color="auto"/>
            <w:bottom w:val="none" w:sz="0" w:space="0" w:color="auto"/>
            <w:right w:val="none" w:sz="0" w:space="0" w:color="auto"/>
          </w:divBdr>
        </w:div>
        <w:div w:id="1479423120">
          <w:marLeft w:val="0"/>
          <w:marRight w:val="0"/>
          <w:marTop w:val="0"/>
          <w:marBottom w:val="0"/>
          <w:divBdr>
            <w:top w:val="none" w:sz="0" w:space="0" w:color="auto"/>
            <w:left w:val="none" w:sz="0" w:space="0" w:color="auto"/>
            <w:bottom w:val="none" w:sz="0" w:space="0" w:color="auto"/>
            <w:right w:val="none" w:sz="0" w:space="0" w:color="auto"/>
          </w:divBdr>
        </w:div>
        <w:div w:id="15932251">
          <w:marLeft w:val="0"/>
          <w:marRight w:val="0"/>
          <w:marTop w:val="0"/>
          <w:marBottom w:val="0"/>
          <w:divBdr>
            <w:top w:val="none" w:sz="0" w:space="0" w:color="auto"/>
            <w:left w:val="none" w:sz="0" w:space="0" w:color="auto"/>
            <w:bottom w:val="none" w:sz="0" w:space="0" w:color="auto"/>
            <w:right w:val="none" w:sz="0" w:space="0" w:color="auto"/>
          </w:divBdr>
        </w:div>
        <w:div w:id="116149576">
          <w:marLeft w:val="0"/>
          <w:marRight w:val="0"/>
          <w:marTop w:val="0"/>
          <w:marBottom w:val="0"/>
          <w:divBdr>
            <w:top w:val="none" w:sz="0" w:space="0" w:color="auto"/>
            <w:left w:val="none" w:sz="0" w:space="0" w:color="auto"/>
            <w:bottom w:val="none" w:sz="0" w:space="0" w:color="auto"/>
            <w:right w:val="none" w:sz="0" w:space="0" w:color="auto"/>
          </w:divBdr>
        </w:div>
        <w:div w:id="1919897820">
          <w:marLeft w:val="0"/>
          <w:marRight w:val="0"/>
          <w:marTop w:val="0"/>
          <w:marBottom w:val="0"/>
          <w:divBdr>
            <w:top w:val="none" w:sz="0" w:space="0" w:color="auto"/>
            <w:left w:val="none" w:sz="0" w:space="0" w:color="auto"/>
            <w:bottom w:val="none" w:sz="0" w:space="0" w:color="auto"/>
            <w:right w:val="none" w:sz="0" w:space="0" w:color="auto"/>
          </w:divBdr>
        </w:div>
        <w:div w:id="573929381">
          <w:marLeft w:val="0"/>
          <w:marRight w:val="0"/>
          <w:marTop w:val="0"/>
          <w:marBottom w:val="0"/>
          <w:divBdr>
            <w:top w:val="none" w:sz="0" w:space="0" w:color="auto"/>
            <w:left w:val="none" w:sz="0" w:space="0" w:color="auto"/>
            <w:bottom w:val="none" w:sz="0" w:space="0" w:color="auto"/>
            <w:right w:val="none" w:sz="0" w:space="0" w:color="auto"/>
          </w:divBdr>
        </w:div>
        <w:div w:id="350567597">
          <w:marLeft w:val="0"/>
          <w:marRight w:val="0"/>
          <w:marTop w:val="0"/>
          <w:marBottom w:val="0"/>
          <w:divBdr>
            <w:top w:val="none" w:sz="0" w:space="0" w:color="auto"/>
            <w:left w:val="none" w:sz="0" w:space="0" w:color="auto"/>
            <w:bottom w:val="none" w:sz="0" w:space="0" w:color="auto"/>
            <w:right w:val="none" w:sz="0" w:space="0" w:color="auto"/>
          </w:divBdr>
        </w:div>
        <w:div w:id="1201429680">
          <w:marLeft w:val="0"/>
          <w:marRight w:val="0"/>
          <w:marTop w:val="0"/>
          <w:marBottom w:val="0"/>
          <w:divBdr>
            <w:top w:val="none" w:sz="0" w:space="0" w:color="auto"/>
            <w:left w:val="none" w:sz="0" w:space="0" w:color="auto"/>
            <w:bottom w:val="none" w:sz="0" w:space="0" w:color="auto"/>
            <w:right w:val="none" w:sz="0" w:space="0" w:color="auto"/>
          </w:divBdr>
        </w:div>
        <w:div w:id="2037270013">
          <w:marLeft w:val="0"/>
          <w:marRight w:val="0"/>
          <w:marTop w:val="0"/>
          <w:marBottom w:val="0"/>
          <w:divBdr>
            <w:top w:val="none" w:sz="0" w:space="0" w:color="auto"/>
            <w:left w:val="none" w:sz="0" w:space="0" w:color="auto"/>
            <w:bottom w:val="none" w:sz="0" w:space="0" w:color="auto"/>
            <w:right w:val="none" w:sz="0" w:space="0" w:color="auto"/>
          </w:divBdr>
        </w:div>
        <w:div w:id="500703404">
          <w:marLeft w:val="0"/>
          <w:marRight w:val="0"/>
          <w:marTop w:val="0"/>
          <w:marBottom w:val="0"/>
          <w:divBdr>
            <w:top w:val="none" w:sz="0" w:space="0" w:color="auto"/>
            <w:left w:val="none" w:sz="0" w:space="0" w:color="auto"/>
            <w:bottom w:val="none" w:sz="0" w:space="0" w:color="auto"/>
            <w:right w:val="none" w:sz="0" w:space="0" w:color="auto"/>
          </w:divBdr>
        </w:div>
        <w:div w:id="1817798215">
          <w:marLeft w:val="0"/>
          <w:marRight w:val="0"/>
          <w:marTop w:val="0"/>
          <w:marBottom w:val="0"/>
          <w:divBdr>
            <w:top w:val="none" w:sz="0" w:space="0" w:color="auto"/>
            <w:left w:val="none" w:sz="0" w:space="0" w:color="auto"/>
            <w:bottom w:val="none" w:sz="0" w:space="0" w:color="auto"/>
            <w:right w:val="none" w:sz="0" w:space="0" w:color="auto"/>
          </w:divBdr>
        </w:div>
        <w:div w:id="1193767647">
          <w:marLeft w:val="0"/>
          <w:marRight w:val="0"/>
          <w:marTop w:val="0"/>
          <w:marBottom w:val="0"/>
          <w:divBdr>
            <w:top w:val="none" w:sz="0" w:space="0" w:color="auto"/>
            <w:left w:val="none" w:sz="0" w:space="0" w:color="auto"/>
            <w:bottom w:val="none" w:sz="0" w:space="0" w:color="auto"/>
            <w:right w:val="none" w:sz="0" w:space="0" w:color="auto"/>
          </w:divBdr>
        </w:div>
        <w:div w:id="66727595">
          <w:marLeft w:val="0"/>
          <w:marRight w:val="0"/>
          <w:marTop w:val="0"/>
          <w:marBottom w:val="0"/>
          <w:divBdr>
            <w:top w:val="none" w:sz="0" w:space="0" w:color="auto"/>
            <w:left w:val="none" w:sz="0" w:space="0" w:color="auto"/>
            <w:bottom w:val="none" w:sz="0" w:space="0" w:color="auto"/>
            <w:right w:val="none" w:sz="0" w:space="0" w:color="auto"/>
          </w:divBdr>
        </w:div>
        <w:div w:id="1562903701">
          <w:marLeft w:val="0"/>
          <w:marRight w:val="0"/>
          <w:marTop w:val="0"/>
          <w:marBottom w:val="0"/>
          <w:divBdr>
            <w:top w:val="none" w:sz="0" w:space="0" w:color="auto"/>
            <w:left w:val="none" w:sz="0" w:space="0" w:color="auto"/>
            <w:bottom w:val="none" w:sz="0" w:space="0" w:color="auto"/>
            <w:right w:val="none" w:sz="0" w:space="0" w:color="auto"/>
          </w:divBdr>
        </w:div>
        <w:div w:id="1315256708">
          <w:marLeft w:val="0"/>
          <w:marRight w:val="0"/>
          <w:marTop w:val="0"/>
          <w:marBottom w:val="0"/>
          <w:divBdr>
            <w:top w:val="none" w:sz="0" w:space="0" w:color="auto"/>
            <w:left w:val="none" w:sz="0" w:space="0" w:color="auto"/>
            <w:bottom w:val="none" w:sz="0" w:space="0" w:color="auto"/>
            <w:right w:val="none" w:sz="0" w:space="0" w:color="auto"/>
          </w:divBdr>
        </w:div>
        <w:div w:id="440994908">
          <w:marLeft w:val="0"/>
          <w:marRight w:val="0"/>
          <w:marTop w:val="0"/>
          <w:marBottom w:val="0"/>
          <w:divBdr>
            <w:top w:val="none" w:sz="0" w:space="0" w:color="auto"/>
            <w:left w:val="none" w:sz="0" w:space="0" w:color="auto"/>
            <w:bottom w:val="none" w:sz="0" w:space="0" w:color="auto"/>
            <w:right w:val="none" w:sz="0" w:space="0" w:color="auto"/>
          </w:divBdr>
        </w:div>
        <w:div w:id="979461876">
          <w:marLeft w:val="0"/>
          <w:marRight w:val="0"/>
          <w:marTop w:val="0"/>
          <w:marBottom w:val="0"/>
          <w:divBdr>
            <w:top w:val="none" w:sz="0" w:space="0" w:color="auto"/>
            <w:left w:val="none" w:sz="0" w:space="0" w:color="auto"/>
            <w:bottom w:val="none" w:sz="0" w:space="0" w:color="auto"/>
            <w:right w:val="none" w:sz="0" w:space="0" w:color="auto"/>
          </w:divBdr>
        </w:div>
        <w:div w:id="1354722313">
          <w:marLeft w:val="0"/>
          <w:marRight w:val="0"/>
          <w:marTop w:val="0"/>
          <w:marBottom w:val="0"/>
          <w:divBdr>
            <w:top w:val="none" w:sz="0" w:space="0" w:color="auto"/>
            <w:left w:val="none" w:sz="0" w:space="0" w:color="auto"/>
            <w:bottom w:val="none" w:sz="0" w:space="0" w:color="auto"/>
            <w:right w:val="none" w:sz="0" w:space="0" w:color="auto"/>
          </w:divBdr>
        </w:div>
        <w:div w:id="1230187300">
          <w:marLeft w:val="0"/>
          <w:marRight w:val="0"/>
          <w:marTop w:val="0"/>
          <w:marBottom w:val="0"/>
          <w:divBdr>
            <w:top w:val="none" w:sz="0" w:space="0" w:color="auto"/>
            <w:left w:val="none" w:sz="0" w:space="0" w:color="auto"/>
            <w:bottom w:val="none" w:sz="0" w:space="0" w:color="auto"/>
            <w:right w:val="none" w:sz="0" w:space="0" w:color="auto"/>
          </w:divBdr>
        </w:div>
        <w:div w:id="155800994">
          <w:marLeft w:val="0"/>
          <w:marRight w:val="0"/>
          <w:marTop w:val="0"/>
          <w:marBottom w:val="0"/>
          <w:divBdr>
            <w:top w:val="none" w:sz="0" w:space="0" w:color="auto"/>
            <w:left w:val="none" w:sz="0" w:space="0" w:color="auto"/>
            <w:bottom w:val="none" w:sz="0" w:space="0" w:color="auto"/>
            <w:right w:val="none" w:sz="0" w:space="0" w:color="auto"/>
          </w:divBdr>
        </w:div>
        <w:div w:id="978222685">
          <w:marLeft w:val="0"/>
          <w:marRight w:val="0"/>
          <w:marTop w:val="0"/>
          <w:marBottom w:val="0"/>
          <w:divBdr>
            <w:top w:val="none" w:sz="0" w:space="0" w:color="auto"/>
            <w:left w:val="none" w:sz="0" w:space="0" w:color="auto"/>
            <w:bottom w:val="none" w:sz="0" w:space="0" w:color="auto"/>
            <w:right w:val="none" w:sz="0" w:space="0" w:color="auto"/>
          </w:divBdr>
        </w:div>
        <w:div w:id="1626352936">
          <w:marLeft w:val="0"/>
          <w:marRight w:val="0"/>
          <w:marTop w:val="0"/>
          <w:marBottom w:val="0"/>
          <w:divBdr>
            <w:top w:val="none" w:sz="0" w:space="0" w:color="auto"/>
            <w:left w:val="none" w:sz="0" w:space="0" w:color="auto"/>
            <w:bottom w:val="none" w:sz="0" w:space="0" w:color="auto"/>
            <w:right w:val="none" w:sz="0" w:space="0" w:color="auto"/>
          </w:divBdr>
        </w:div>
        <w:div w:id="1623073583">
          <w:marLeft w:val="0"/>
          <w:marRight w:val="0"/>
          <w:marTop w:val="0"/>
          <w:marBottom w:val="0"/>
          <w:divBdr>
            <w:top w:val="none" w:sz="0" w:space="0" w:color="auto"/>
            <w:left w:val="none" w:sz="0" w:space="0" w:color="auto"/>
            <w:bottom w:val="none" w:sz="0" w:space="0" w:color="auto"/>
            <w:right w:val="none" w:sz="0" w:space="0" w:color="auto"/>
          </w:divBdr>
        </w:div>
        <w:div w:id="1394353784">
          <w:marLeft w:val="0"/>
          <w:marRight w:val="0"/>
          <w:marTop w:val="0"/>
          <w:marBottom w:val="0"/>
          <w:divBdr>
            <w:top w:val="none" w:sz="0" w:space="0" w:color="auto"/>
            <w:left w:val="none" w:sz="0" w:space="0" w:color="auto"/>
            <w:bottom w:val="none" w:sz="0" w:space="0" w:color="auto"/>
            <w:right w:val="none" w:sz="0" w:space="0" w:color="auto"/>
          </w:divBdr>
        </w:div>
        <w:div w:id="1803842781">
          <w:marLeft w:val="0"/>
          <w:marRight w:val="0"/>
          <w:marTop w:val="0"/>
          <w:marBottom w:val="0"/>
          <w:divBdr>
            <w:top w:val="none" w:sz="0" w:space="0" w:color="auto"/>
            <w:left w:val="none" w:sz="0" w:space="0" w:color="auto"/>
            <w:bottom w:val="none" w:sz="0" w:space="0" w:color="auto"/>
            <w:right w:val="none" w:sz="0" w:space="0" w:color="auto"/>
          </w:divBdr>
        </w:div>
        <w:div w:id="1838617875">
          <w:marLeft w:val="0"/>
          <w:marRight w:val="0"/>
          <w:marTop w:val="0"/>
          <w:marBottom w:val="0"/>
          <w:divBdr>
            <w:top w:val="none" w:sz="0" w:space="0" w:color="auto"/>
            <w:left w:val="none" w:sz="0" w:space="0" w:color="auto"/>
            <w:bottom w:val="none" w:sz="0" w:space="0" w:color="auto"/>
            <w:right w:val="none" w:sz="0" w:space="0" w:color="auto"/>
          </w:divBdr>
        </w:div>
        <w:div w:id="100343987">
          <w:marLeft w:val="0"/>
          <w:marRight w:val="0"/>
          <w:marTop w:val="0"/>
          <w:marBottom w:val="0"/>
          <w:divBdr>
            <w:top w:val="none" w:sz="0" w:space="0" w:color="auto"/>
            <w:left w:val="none" w:sz="0" w:space="0" w:color="auto"/>
            <w:bottom w:val="none" w:sz="0" w:space="0" w:color="auto"/>
            <w:right w:val="none" w:sz="0" w:space="0" w:color="auto"/>
          </w:divBdr>
        </w:div>
        <w:div w:id="266548025">
          <w:marLeft w:val="0"/>
          <w:marRight w:val="0"/>
          <w:marTop w:val="0"/>
          <w:marBottom w:val="0"/>
          <w:divBdr>
            <w:top w:val="none" w:sz="0" w:space="0" w:color="auto"/>
            <w:left w:val="none" w:sz="0" w:space="0" w:color="auto"/>
            <w:bottom w:val="none" w:sz="0" w:space="0" w:color="auto"/>
            <w:right w:val="none" w:sz="0" w:space="0" w:color="auto"/>
          </w:divBdr>
        </w:div>
        <w:div w:id="432674142">
          <w:marLeft w:val="0"/>
          <w:marRight w:val="0"/>
          <w:marTop w:val="0"/>
          <w:marBottom w:val="0"/>
          <w:divBdr>
            <w:top w:val="none" w:sz="0" w:space="0" w:color="auto"/>
            <w:left w:val="none" w:sz="0" w:space="0" w:color="auto"/>
            <w:bottom w:val="none" w:sz="0" w:space="0" w:color="auto"/>
            <w:right w:val="none" w:sz="0" w:space="0" w:color="auto"/>
          </w:divBdr>
        </w:div>
        <w:div w:id="1288581494">
          <w:marLeft w:val="0"/>
          <w:marRight w:val="0"/>
          <w:marTop w:val="0"/>
          <w:marBottom w:val="0"/>
          <w:divBdr>
            <w:top w:val="none" w:sz="0" w:space="0" w:color="auto"/>
            <w:left w:val="none" w:sz="0" w:space="0" w:color="auto"/>
            <w:bottom w:val="none" w:sz="0" w:space="0" w:color="auto"/>
            <w:right w:val="none" w:sz="0" w:space="0" w:color="auto"/>
          </w:divBdr>
        </w:div>
        <w:div w:id="366370923">
          <w:marLeft w:val="0"/>
          <w:marRight w:val="0"/>
          <w:marTop w:val="0"/>
          <w:marBottom w:val="0"/>
          <w:divBdr>
            <w:top w:val="none" w:sz="0" w:space="0" w:color="auto"/>
            <w:left w:val="none" w:sz="0" w:space="0" w:color="auto"/>
            <w:bottom w:val="none" w:sz="0" w:space="0" w:color="auto"/>
            <w:right w:val="none" w:sz="0" w:space="0" w:color="auto"/>
          </w:divBdr>
        </w:div>
        <w:div w:id="468397909">
          <w:marLeft w:val="0"/>
          <w:marRight w:val="0"/>
          <w:marTop w:val="0"/>
          <w:marBottom w:val="0"/>
          <w:divBdr>
            <w:top w:val="none" w:sz="0" w:space="0" w:color="auto"/>
            <w:left w:val="none" w:sz="0" w:space="0" w:color="auto"/>
            <w:bottom w:val="none" w:sz="0" w:space="0" w:color="auto"/>
            <w:right w:val="none" w:sz="0" w:space="0" w:color="auto"/>
          </w:divBdr>
        </w:div>
        <w:div w:id="1599481670">
          <w:marLeft w:val="0"/>
          <w:marRight w:val="0"/>
          <w:marTop w:val="0"/>
          <w:marBottom w:val="0"/>
          <w:divBdr>
            <w:top w:val="none" w:sz="0" w:space="0" w:color="auto"/>
            <w:left w:val="none" w:sz="0" w:space="0" w:color="auto"/>
            <w:bottom w:val="none" w:sz="0" w:space="0" w:color="auto"/>
            <w:right w:val="none" w:sz="0" w:space="0" w:color="auto"/>
          </w:divBdr>
        </w:div>
        <w:div w:id="1073042306">
          <w:marLeft w:val="0"/>
          <w:marRight w:val="0"/>
          <w:marTop w:val="0"/>
          <w:marBottom w:val="0"/>
          <w:divBdr>
            <w:top w:val="none" w:sz="0" w:space="0" w:color="auto"/>
            <w:left w:val="none" w:sz="0" w:space="0" w:color="auto"/>
            <w:bottom w:val="none" w:sz="0" w:space="0" w:color="auto"/>
            <w:right w:val="none" w:sz="0" w:space="0" w:color="auto"/>
          </w:divBdr>
        </w:div>
        <w:div w:id="1086269779">
          <w:marLeft w:val="0"/>
          <w:marRight w:val="0"/>
          <w:marTop w:val="0"/>
          <w:marBottom w:val="0"/>
          <w:divBdr>
            <w:top w:val="none" w:sz="0" w:space="0" w:color="auto"/>
            <w:left w:val="none" w:sz="0" w:space="0" w:color="auto"/>
            <w:bottom w:val="none" w:sz="0" w:space="0" w:color="auto"/>
            <w:right w:val="none" w:sz="0" w:space="0" w:color="auto"/>
          </w:divBdr>
        </w:div>
        <w:div w:id="1605385142">
          <w:marLeft w:val="0"/>
          <w:marRight w:val="0"/>
          <w:marTop w:val="0"/>
          <w:marBottom w:val="0"/>
          <w:divBdr>
            <w:top w:val="none" w:sz="0" w:space="0" w:color="auto"/>
            <w:left w:val="none" w:sz="0" w:space="0" w:color="auto"/>
            <w:bottom w:val="none" w:sz="0" w:space="0" w:color="auto"/>
            <w:right w:val="none" w:sz="0" w:space="0" w:color="auto"/>
          </w:divBdr>
        </w:div>
        <w:div w:id="1244611526">
          <w:marLeft w:val="0"/>
          <w:marRight w:val="0"/>
          <w:marTop w:val="0"/>
          <w:marBottom w:val="0"/>
          <w:divBdr>
            <w:top w:val="none" w:sz="0" w:space="0" w:color="auto"/>
            <w:left w:val="none" w:sz="0" w:space="0" w:color="auto"/>
            <w:bottom w:val="none" w:sz="0" w:space="0" w:color="auto"/>
            <w:right w:val="none" w:sz="0" w:space="0" w:color="auto"/>
          </w:divBdr>
        </w:div>
        <w:div w:id="762993837">
          <w:marLeft w:val="0"/>
          <w:marRight w:val="0"/>
          <w:marTop w:val="0"/>
          <w:marBottom w:val="0"/>
          <w:divBdr>
            <w:top w:val="none" w:sz="0" w:space="0" w:color="auto"/>
            <w:left w:val="none" w:sz="0" w:space="0" w:color="auto"/>
            <w:bottom w:val="none" w:sz="0" w:space="0" w:color="auto"/>
            <w:right w:val="none" w:sz="0" w:space="0" w:color="auto"/>
          </w:divBdr>
        </w:div>
        <w:div w:id="2031947722">
          <w:marLeft w:val="0"/>
          <w:marRight w:val="0"/>
          <w:marTop w:val="0"/>
          <w:marBottom w:val="0"/>
          <w:divBdr>
            <w:top w:val="none" w:sz="0" w:space="0" w:color="auto"/>
            <w:left w:val="none" w:sz="0" w:space="0" w:color="auto"/>
            <w:bottom w:val="none" w:sz="0" w:space="0" w:color="auto"/>
            <w:right w:val="none" w:sz="0" w:space="0" w:color="auto"/>
          </w:divBdr>
        </w:div>
        <w:div w:id="1010642781">
          <w:marLeft w:val="0"/>
          <w:marRight w:val="0"/>
          <w:marTop w:val="0"/>
          <w:marBottom w:val="0"/>
          <w:divBdr>
            <w:top w:val="none" w:sz="0" w:space="0" w:color="auto"/>
            <w:left w:val="none" w:sz="0" w:space="0" w:color="auto"/>
            <w:bottom w:val="none" w:sz="0" w:space="0" w:color="auto"/>
            <w:right w:val="none" w:sz="0" w:space="0" w:color="auto"/>
          </w:divBdr>
        </w:div>
        <w:div w:id="144397470">
          <w:marLeft w:val="0"/>
          <w:marRight w:val="0"/>
          <w:marTop w:val="0"/>
          <w:marBottom w:val="0"/>
          <w:divBdr>
            <w:top w:val="none" w:sz="0" w:space="0" w:color="auto"/>
            <w:left w:val="none" w:sz="0" w:space="0" w:color="auto"/>
            <w:bottom w:val="none" w:sz="0" w:space="0" w:color="auto"/>
            <w:right w:val="none" w:sz="0" w:space="0" w:color="auto"/>
          </w:divBdr>
        </w:div>
        <w:div w:id="1669358106">
          <w:marLeft w:val="0"/>
          <w:marRight w:val="0"/>
          <w:marTop w:val="0"/>
          <w:marBottom w:val="0"/>
          <w:divBdr>
            <w:top w:val="none" w:sz="0" w:space="0" w:color="auto"/>
            <w:left w:val="none" w:sz="0" w:space="0" w:color="auto"/>
            <w:bottom w:val="none" w:sz="0" w:space="0" w:color="auto"/>
            <w:right w:val="none" w:sz="0" w:space="0" w:color="auto"/>
          </w:divBdr>
        </w:div>
        <w:div w:id="447743522">
          <w:marLeft w:val="0"/>
          <w:marRight w:val="0"/>
          <w:marTop w:val="0"/>
          <w:marBottom w:val="0"/>
          <w:divBdr>
            <w:top w:val="none" w:sz="0" w:space="0" w:color="auto"/>
            <w:left w:val="none" w:sz="0" w:space="0" w:color="auto"/>
            <w:bottom w:val="none" w:sz="0" w:space="0" w:color="auto"/>
            <w:right w:val="none" w:sz="0" w:space="0" w:color="auto"/>
          </w:divBdr>
        </w:div>
        <w:div w:id="1413894179">
          <w:marLeft w:val="0"/>
          <w:marRight w:val="0"/>
          <w:marTop w:val="0"/>
          <w:marBottom w:val="0"/>
          <w:divBdr>
            <w:top w:val="none" w:sz="0" w:space="0" w:color="auto"/>
            <w:left w:val="none" w:sz="0" w:space="0" w:color="auto"/>
            <w:bottom w:val="none" w:sz="0" w:space="0" w:color="auto"/>
            <w:right w:val="none" w:sz="0" w:space="0" w:color="auto"/>
          </w:divBdr>
        </w:div>
        <w:div w:id="1683703948">
          <w:marLeft w:val="0"/>
          <w:marRight w:val="0"/>
          <w:marTop w:val="0"/>
          <w:marBottom w:val="0"/>
          <w:divBdr>
            <w:top w:val="none" w:sz="0" w:space="0" w:color="auto"/>
            <w:left w:val="none" w:sz="0" w:space="0" w:color="auto"/>
            <w:bottom w:val="none" w:sz="0" w:space="0" w:color="auto"/>
            <w:right w:val="none" w:sz="0" w:space="0" w:color="auto"/>
          </w:divBdr>
        </w:div>
        <w:div w:id="985358204">
          <w:marLeft w:val="0"/>
          <w:marRight w:val="0"/>
          <w:marTop w:val="0"/>
          <w:marBottom w:val="0"/>
          <w:divBdr>
            <w:top w:val="none" w:sz="0" w:space="0" w:color="auto"/>
            <w:left w:val="none" w:sz="0" w:space="0" w:color="auto"/>
            <w:bottom w:val="none" w:sz="0" w:space="0" w:color="auto"/>
            <w:right w:val="none" w:sz="0" w:space="0" w:color="auto"/>
          </w:divBdr>
        </w:div>
        <w:div w:id="1224676628">
          <w:marLeft w:val="0"/>
          <w:marRight w:val="0"/>
          <w:marTop w:val="0"/>
          <w:marBottom w:val="0"/>
          <w:divBdr>
            <w:top w:val="none" w:sz="0" w:space="0" w:color="auto"/>
            <w:left w:val="none" w:sz="0" w:space="0" w:color="auto"/>
            <w:bottom w:val="none" w:sz="0" w:space="0" w:color="auto"/>
            <w:right w:val="none" w:sz="0" w:space="0" w:color="auto"/>
          </w:divBdr>
        </w:div>
        <w:div w:id="480851158">
          <w:marLeft w:val="0"/>
          <w:marRight w:val="0"/>
          <w:marTop w:val="0"/>
          <w:marBottom w:val="0"/>
          <w:divBdr>
            <w:top w:val="none" w:sz="0" w:space="0" w:color="auto"/>
            <w:left w:val="none" w:sz="0" w:space="0" w:color="auto"/>
            <w:bottom w:val="none" w:sz="0" w:space="0" w:color="auto"/>
            <w:right w:val="none" w:sz="0" w:space="0" w:color="auto"/>
          </w:divBdr>
        </w:div>
        <w:div w:id="2131050388">
          <w:marLeft w:val="0"/>
          <w:marRight w:val="0"/>
          <w:marTop w:val="0"/>
          <w:marBottom w:val="0"/>
          <w:divBdr>
            <w:top w:val="none" w:sz="0" w:space="0" w:color="auto"/>
            <w:left w:val="none" w:sz="0" w:space="0" w:color="auto"/>
            <w:bottom w:val="none" w:sz="0" w:space="0" w:color="auto"/>
            <w:right w:val="none" w:sz="0" w:space="0" w:color="auto"/>
          </w:divBdr>
        </w:div>
        <w:div w:id="854265510">
          <w:marLeft w:val="0"/>
          <w:marRight w:val="0"/>
          <w:marTop w:val="0"/>
          <w:marBottom w:val="0"/>
          <w:divBdr>
            <w:top w:val="none" w:sz="0" w:space="0" w:color="auto"/>
            <w:left w:val="none" w:sz="0" w:space="0" w:color="auto"/>
            <w:bottom w:val="none" w:sz="0" w:space="0" w:color="auto"/>
            <w:right w:val="none" w:sz="0" w:space="0" w:color="auto"/>
          </w:divBdr>
        </w:div>
        <w:div w:id="248275994">
          <w:marLeft w:val="0"/>
          <w:marRight w:val="0"/>
          <w:marTop w:val="0"/>
          <w:marBottom w:val="0"/>
          <w:divBdr>
            <w:top w:val="none" w:sz="0" w:space="0" w:color="auto"/>
            <w:left w:val="none" w:sz="0" w:space="0" w:color="auto"/>
            <w:bottom w:val="none" w:sz="0" w:space="0" w:color="auto"/>
            <w:right w:val="none" w:sz="0" w:space="0" w:color="auto"/>
          </w:divBdr>
        </w:div>
        <w:div w:id="1679961203">
          <w:marLeft w:val="0"/>
          <w:marRight w:val="0"/>
          <w:marTop w:val="0"/>
          <w:marBottom w:val="0"/>
          <w:divBdr>
            <w:top w:val="none" w:sz="0" w:space="0" w:color="auto"/>
            <w:left w:val="none" w:sz="0" w:space="0" w:color="auto"/>
            <w:bottom w:val="none" w:sz="0" w:space="0" w:color="auto"/>
            <w:right w:val="none" w:sz="0" w:space="0" w:color="auto"/>
          </w:divBdr>
        </w:div>
        <w:div w:id="1574194104">
          <w:marLeft w:val="0"/>
          <w:marRight w:val="0"/>
          <w:marTop w:val="0"/>
          <w:marBottom w:val="0"/>
          <w:divBdr>
            <w:top w:val="none" w:sz="0" w:space="0" w:color="auto"/>
            <w:left w:val="none" w:sz="0" w:space="0" w:color="auto"/>
            <w:bottom w:val="none" w:sz="0" w:space="0" w:color="auto"/>
            <w:right w:val="none" w:sz="0" w:space="0" w:color="auto"/>
          </w:divBdr>
        </w:div>
        <w:div w:id="1763183801">
          <w:marLeft w:val="0"/>
          <w:marRight w:val="0"/>
          <w:marTop w:val="0"/>
          <w:marBottom w:val="0"/>
          <w:divBdr>
            <w:top w:val="none" w:sz="0" w:space="0" w:color="auto"/>
            <w:left w:val="none" w:sz="0" w:space="0" w:color="auto"/>
            <w:bottom w:val="none" w:sz="0" w:space="0" w:color="auto"/>
            <w:right w:val="none" w:sz="0" w:space="0" w:color="auto"/>
          </w:divBdr>
        </w:div>
        <w:div w:id="596525758">
          <w:marLeft w:val="0"/>
          <w:marRight w:val="0"/>
          <w:marTop w:val="0"/>
          <w:marBottom w:val="0"/>
          <w:divBdr>
            <w:top w:val="none" w:sz="0" w:space="0" w:color="auto"/>
            <w:left w:val="none" w:sz="0" w:space="0" w:color="auto"/>
            <w:bottom w:val="none" w:sz="0" w:space="0" w:color="auto"/>
            <w:right w:val="none" w:sz="0" w:space="0" w:color="auto"/>
          </w:divBdr>
        </w:div>
        <w:div w:id="525869974">
          <w:marLeft w:val="0"/>
          <w:marRight w:val="0"/>
          <w:marTop w:val="0"/>
          <w:marBottom w:val="0"/>
          <w:divBdr>
            <w:top w:val="none" w:sz="0" w:space="0" w:color="auto"/>
            <w:left w:val="none" w:sz="0" w:space="0" w:color="auto"/>
            <w:bottom w:val="none" w:sz="0" w:space="0" w:color="auto"/>
            <w:right w:val="none" w:sz="0" w:space="0" w:color="auto"/>
          </w:divBdr>
        </w:div>
        <w:div w:id="973489932">
          <w:marLeft w:val="0"/>
          <w:marRight w:val="0"/>
          <w:marTop w:val="0"/>
          <w:marBottom w:val="0"/>
          <w:divBdr>
            <w:top w:val="none" w:sz="0" w:space="0" w:color="auto"/>
            <w:left w:val="none" w:sz="0" w:space="0" w:color="auto"/>
            <w:bottom w:val="none" w:sz="0" w:space="0" w:color="auto"/>
            <w:right w:val="none" w:sz="0" w:space="0" w:color="auto"/>
          </w:divBdr>
        </w:div>
        <w:div w:id="1151604229">
          <w:marLeft w:val="0"/>
          <w:marRight w:val="0"/>
          <w:marTop w:val="0"/>
          <w:marBottom w:val="0"/>
          <w:divBdr>
            <w:top w:val="none" w:sz="0" w:space="0" w:color="auto"/>
            <w:left w:val="none" w:sz="0" w:space="0" w:color="auto"/>
            <w:bottom w:val="none" w:sz="0" w:space="0" w:color="auto"/>
            <w:right w:val="none" w:sz="0" w:space="0" w:color="auto"/>
          </w:divBdr>
        </w:div>
        <w:div w:id="1542783936">
          <w:marLeft w:val="0"/>
          <w:marRight w:val="0"/>
          <w:marTop w:val="0"/>
          <w:marBottom w:val="0"/>
          <w:divBdr>
            <w:top w:val="none" w:sz="0" w:space="0" w:color="auto"/>
            <w:left w:val="none" w:sz="0" w:space="0" w:color="auto"/>
            <w:bottom w:val="none" w:sz="0" w:space="0" w:color="auto"/>
            <w:right w:val="none" w:sz="0" w:space="0" w:color="auto"/>
          </w:divBdr>
        </w:div>
        <w:div w:id="1713578241">
          <w:marLeft w:val="0"/>
          <w:marRight w:val="0"/>
          <w:marTop w:val="0"/>
          <w:marBottom w:val="0"/>
          <w:divBdr>
            <w:top w:val="none" w:sz="0" w:space="0" w:color="auto"/>
            <w:left w:val="none" w:sz="0" w:space="0" w:color="auto"/>
            <w:bottom w:val="none" w:sz="0" w:space="0" w:color="auto"/>
            <w:right w:val="none" w:sz="0" w:space="0" w:color="auto"/>
          </w:divBdr>
        </w:div>
        <w:div w:id="717971518">
          <w:marLeft w:val="0"/>
          <w:marRight w:val="0"/>
          <w:marTop w:val="0"/>
          <w:marBottom w:val="0"/>
          <w:divBdr>
            <w:top w:val="none" w:sz="0" w:space="0" w:color="auto"/>
            <w:left w:val="none" w:sz="0" w:space="0" w:color="auto"/>
            <w:bottom w:val="none" w:sz="0" w:space="0" w:color="auto"/>
            <w:right w:val="none" w:sz="0" w:space="0" w:color="auto"/>
          </w:divBdr>
        </w:div>
        <w:div w:id="1477722509">
          <w:marLeft w:val="0"/>
          <w:marRight w:val="0"/>
          <w:marTop w:val="0"/>
          <w:marBottom w:val="0"/>
          <w:divBdr>
            <w:top w:val="none" w:sz="0" w:space="0" w:color="auto"/>
            <w:left w:val="none" w:sz="0" w:space="0" w:color="auto"/>
            <w:bottom w:val="none" w:sz="0" w:space="0" w:color="auto"/>
            <w:right w:val="none" w:sz="0" w:space="0" w:color="auto"/>
          </w:divBdr>
        </w:div>
        <w:div w:id="1785928493">
          <w:marLeft w:val="0"/>
          <w:marRight w:val="0"/>
          <w:marTop w:val="0"/>
          <w:marBottom w:val="0"/>
          <w:divBdr>
            <w:top w:val="none" w:sz="0" w:space="0" w:color="auto"/>
            <w:left w:val="none" w:sz="0" w:space="0" w:color="auto"/>
            <w:bottom w:val="none" w:sz="0" w:space="0" w:color="auto"/>
            <w:right w:val="none" w:sz="0" w:space="0" w:color="auto"/>
          </w:divBdr>
        </w:div>
        <w:div w:id="791286364">
          <w:marLeft w:val="0"/>
          <w:marRight w:val="0"/>
          <w:marTop w:val="0"/>
          <w:marBottom w:val="0"/>
          <w:divBdr>
            <w:top w:val="none" w:sz="0" w:space="0" w:color="auto"/>
            <w:left w:val="none" w:sz="0" w:space="0" w:color="auto"/>
            <w:bottom w:val="none" w:sz="0" w:space="0" w:color="auto"/>
            <w:right w:val="none" w:sz="0" w:space="0" w:color="auto"/>
          </w:divBdr>
        </w:div>
        <w:div w:id="1571430012">
          <w:marLeft w:val="0"/>
          <w:marRight w:val="0"/>
          <w:marTop w:val="0"/>
          <w:marBottom w:val="0"/>
          <w:divBdr>
            <w:top w:val="none" w:sz="0" w:space="0" w:color="auto"/>
            <w:left w:val="none" w:sz="0" w:space="0" w:color="auto"/>
            <w:bottom w:val="none" w:sz="0" w:space="0" w:color="auto"/>
            <w:right w:val="none" w:sz="0" w:space="0" w:color="auto"/>
          </w:divBdr>
        </w:div>
        <w:div w:id="313410866">
          <w:marLeft w:val="0"/>
          <w:marRight w:val="0"/>
          <w:marTop w:val="0"/>
          <w:marBottom w:val="0"/>
          <w:divBdr>
            <w:top w:val="none" w:sz="0" w:space="0" w:color="auto"/>
            <w:left w:val="none" w:sz="0" w:space="0" w:color="auto"/>
            <w:bottom w:val="none" w:sz="0" w:space="0" w:color="auto"/>
            <w:right w:val="none" w:sz="0" w:space="0" w:color="auto"/>
          </w:divBdr>
        </w:div>
        <w:div w:id="886378597">
          <w:marLeft w:val="0"/>
          <w:marRight w:val="0"/>
          <w:marTop w:val="0"/>
          <w:marBottom w:val="0"/>
          <w:divBdr>
            <w:top w:val="none" w:sz="0" w:space="0" w:color="auto"/>
            <w:left w:val="none" w:sz="0" w:space="0" w:color="auto"/>
            <w:bottom w:val="none" w:sz="0" w:space="0" w:color="auto"/>
            <w:right w:val="none" w:sz="0" w:space="0" w:color="auto"/>
          </w:divBdr>
        </w:div>
        <w:div w:id="1991590417">
          <w:marLeft w:val="0"/>
          <w:marRight w:val="0"/>
          <w:marTop w:val="0"/>
          <w:marBottom w:val="0"/>
          <w:divBdr>
            <w:top w:val="none" w:sz="0" w:space="0" w:color="auto"/>
            <w:left w:val="none" w:sz="0" w:space="0" w:color="auto"/>
            <w:bottom w:val="none" w:sz="0" w:space="0" w:color="auto"/>
            <w:right w:val="none" w:sz="0" w:space="0" w:color="auto"/>
          </w:divBdr>
        </w:div>
        <w:div w:id="847527372">
          <w:marLeft w:val="0"/>
          <w:marRight w:val="0"/>
          <w:marTop w:val="0"/>
          <w:marBottom w:val="0"/>
          <w:divBdr>
            <w:top w:val="none" w:sz="0" w:space="0" w:color="auto"/>
            <w:left w:val="none" w:sz="0" w:space="0" w:color="auto"/>
            <w:bottom w:val="none" w:sz="0" w:space="0" w:color="auto"/>
            <w:right w:val="none" w:sz="0" w:space="0" w:color="auto"/>
          </w:divBdr>
        </w:div>
      </w:divsChild>
    </w:div>
    <w:div w:id="1600406509">
      <w:bodyDiv w:val="1"/>
      <w:marLeft w:val="0"/>
      <w:marRight w:val="0"/>
      <w:marTop w:val="0"/>
      <w:marBottom w:val="0"/>
      <w:divBdr>
        <w:top w:val="none" w:sz="0" w:space="0" w:color="auto"/>
        <w:left w:val="none" w:sz="0" w:space="0" w:color="auto"/>
        <w:bottom w:val="none" w:sz="0" w:space="0" w:color="auto"/>
        <w:right w:val="none" w:sz="0" w:space="0" w:color="auto"/>
      </w:divBdr>
      <w:divsChild>
        <w:div w:id="688140309">
          <w:marLeft w:val="0"/>
          <w:marRight w:val="0"/>
          <w:marTop w:val="0"/>
          <w:marBottom w:val="0"/>
          <w:divBdr>
            <w:top w:val="none" w:sz="0" w:space="0" w:color="auto"/>
            <w:left w:val="none" w:sz="0" w:space="0" w:color="auto"/>
            <w:bottom w:val="none" w:sz="0" w:space="0" w:color="auto"/>
            <w:right w:val="none" w:sz="0" w:space="0" w:color="auto"/>
          </w:divBdr>
        </w:div>
        <w:div w:id="595987262">
          <w:marLeft w:val="0"/>
          <w:marRight w:val="0"/>
          <w:marTop w:val="0"/>
          <w:marBottom w:val="0"/>
          <w:divBdr>
            <w:top w:val="none" w:sz="0" w:space="0" w:color="auto"/>
            <w:left w:val="none" w:sz="0" w:space="0" w:color="auto"/>
            <w:bottom w:val="none" w:sz="0" w:space="0" w:color="auto"/>
            <w:right w:val="none" w:sz="0" w:space="0" w:color="auto"/>
          </w:divBdr>
        </w:div>
        <w:div w:id="1524780663">
          <w:marLeft w:val="0"/>
          <w:marRight w:val="0"/>
          <w:marTop w:val="0"/>
          <w:marBottom w:val="0"/>
          <w:divBdr>
            <w:top w:val="none" w:sz="0" w:space="0" w:color="auto"/>
            <w:left w:val="none" w:sz="0" w:space="0" w:color="auto"/>
            <w:bottom w:val="none" w:sz="0" w:space="0" w:color="auto"/>
            <w:right w:val="none" w:sz="0" w:space="0" w:color="auto"/>
          </w:divBdr>
        </w:div>
        <w:div w:id="1561015271">
          <w:marLeft w:val="0"/>
          <w:marRight w:val="0"/>
          <w:marTop w:val="0"/>
          <w:marBottom w:val="0"/>
          <w:divBdr>
            <w:top w:val="none" w:sz="0" w:space="0" w:color="auto"/>
            <w:left w:val="none" w:sz="0" w:space="0" w:color="auto"/>
            <w:bottom w:val="none" w:sz="0" w:space="0" w:color="auto"/>
            <w:right w:val="none" w:sz="0" w:space="0" w:color="auto"/>
          </w:divBdr>
        </w:div>
        <w:div w:id="738597085">
          <w:marLeft w:val="0"/>
          <w:marRight w:val="0"/>
          <w:marTop w:val="0"/>
          <w:marBottom w:val="0"/>
          <w:divBdr>
            <w:top w:val="none" w:sz="0" w:space="0" w:color="auto"/>
            <w:left w:val="none" w:sz="0" w:space="0" w:color="auto"/>
            <w:bottom w:val="none" w:sz="0" w:space="0" w:color="auto"/>
            <w:right w:val="none" w:sz="0" w:space="0" w:color="auto"/>
          </w:divBdr>
        </w:div>
        <w:div w:id="2015109954">
          <w:marLeft w:val="0"/>
          <w:marRight w:val="0"/>
          <w:marTop w:val="0"/>
          <w:marBottom w:val="0"/>
          <w:divBdr>
            <w:top w:val="none" w:sz="0" w:space="0" w:color="auto"/>
            <w:left w:val="none" w:sz="0" w:space="0" w:color="auto"/>
            <w:bottom w:val="none" w:sz="0" w:space="0" w:color="auto"/>
            <w:right w:val="none" w:sz="0" w:space="0" w:color="auto"/>
          </w:divBdr>
        </w:div>
        <w:div w:id="630326024">
          <w:marLeft w:val="0"/>
          <w:marRight w:val="0"/>
          <w:marTop w:val="0"/>
          <w:marBottom w:val="0"/>
          <w:divBdr>
            <w:top w:val="none" w:sz="0" w:space="0" w:color="auto"/>
            <w:left w:val="none" w:sz="0" w:space="0" w:color="auto"/>
            <w:bottom w:val="none" w:sz="0" w:space="0" w:color="auto"/>
            <w:right w:val="none" w:sz="0" w:space="0" w:color="auto"/>
          </w:divBdr>
        </w:div>
        <w:div w:id="1368069120">
          <w:marLeft w:val="0"/>
          <w:marRight w:val="0"/>
          <w:marTop w:val="0"/>
          <w:marBottom w:val="0"/>
          <w:divBdr>
            <w:top w:val="none" w:sz="0" w:space="0" w:color="auto"/>
            <w:left w:val="none" w:sz="0" w:space="0" w:color="auto"/>
            <w:bottom w:val="none" w:sz="0" w:space="0" w:color="auto"/>
            <w:right w:val="none" w:sz="0" w:space="0" w:color="auto"/>
          </w:divBdr>
        </w:div>
        <w:div w:id="1153644807">
          <w:marLeft w:val="0"/>
          <w:marRight w:val="0"/>
          <w:marTop w:val="0"/>
          <w:marBottom w:val="0"/>
          <w:divBdr>
            <w:top w:val="none" w:sz="0" w:space="0" w:color="auto"/>
            <w:left w:val="none" w:sz="0" w:space="0" w:color="auto"/>
            <w:bottom w:val="none" w:sz="0" w:space="0" w:color="auto"/>
            <w:right w:val="none" w:sz="0" w:space="0" w:color="auto"/>
          </w:divBdr>
        </w:div>
        <w:div w:id="1376854723">
          <w:marLeft w:val="0"/>
          <w:marRight w:val="0"/>
          <w:marTop w:val="0"/>
          <w:marBottom w:val="0"/>
          <w:divBdr>
            <w:top w:val="none" w:sz="0" w:space="0" w:color="auto"/>
            <w:left w:val="none" w:sz="0" w:space="0" w:color="auto"/>
            <w:bottom w:val="none" w:sz="0" w:space="0" w:color="auto"/>
            <w:right w:val="none" w:sz="0" w:space="0" w:color="auto"/>
          </w:divBdr>
        </w:div>
        <w:div w:id="812789724">
          <w:marLeft w:val="0"/>
          <w:marRight w:val="0"/>
          <w:marTop w:val="0"/>
          <w:marBottom w:val="0"/>
          <w:divBdr>
            <w:top w:val="none" w:sz="0" w:space="0" w:color="auto"/>
            <w:left w:val="none" w:sz="0" w:space="0" w:color="auto"/>
            <w:bottom w:val="none" w:sz="0" w:space="0" w:color="auto"/>
            <w:right w:val="none" w:sz="0" w:space="0" w:color="auto"/>
          </w:divBdr>
        </w:div>
        <w:div w:id="633408100">
          <w:marLeft w:val="0"/>
          <w:marRight w:val="0"/>
          <w:marTop w:val="0"/>
          <w:marBottom w:val="0"/>
          <w:divBdr>
            <w:top w:val="none" w:sz="0" w:space="0" w:color="auto"/>
            <w:left w:val="none" w:sz="0" w:space="0" w:color="auto"/>
            <w:bottom w:val="none" w:sz="0" w:space="0" w:color="auto"/>
            <w:right w:val="none" w:sz="0" w:space="0" w:color="auto"/>
          </w:divBdr>
        </w:div>
        <w:div w:id="1009985545">
          <w:marLeft w:val="0"/>
          <w:marRight w:val="0"/>
          <w:marTop w:val="0"/>
          <w:marBottom w:val="0"/>
          <w:divBdr>
            <w:top w:val="none" w:sz="0" w:space="0" w:color="auto"/>
            <w:left w:val="none" w:sz="0" w:space="0" w:color="auto"/>
            <w:bottom w:val="none" w:sz="0" w:space="0" w:color="auto"/>
            <w:right w:val="none" w:sz="0" w:space="0" w:color="auto"/>
          </w:divBdr>
        </w:div>
        <w:div w:id="1789004677">
          <w:marLeft w:val="0"/>
          <w:marRight w:val="0"/>
          <w:marTop w:val="0"/>
          <w:marBottom w:val="0"/>
          <w:divBdr>
            <w:top w:val="none" w:sz="0" w:space="0" w:color="auto"/>
            <w:left w:val="none" w:sz="0" w:space="0" w:color="auto"/>
            <w:bottom w:val="none" w:sz="0" w:space="0" w:color="auto"/>
            <w:right w:val="none" w:sz="0" w:space="0" w:color="auto"/>
          </w:divBdr>
        </w:div>
        <w:div w:id="1813056794">
          <w:marLeft w:val="0"/>
          <w:marRight w:val="0"/>
          <w:marTop w:val="0"/>
          <w:marBottom w:val="0"/>
          <w:divBdr>
            <w:top w:val="none" w:sz="0" w:space="0" w:color="auto"/>
            <w:left w:val="none" w:sz="0" w:space="0" w:color="auto"/>
            <w:bottom w:val="none" w:sz="0" w:space="0" w:color="auto"/>
            <w:right w:val="none" w:sz="0" w:space="0" w:color="auto"/>
          </w:divBdr>
        </w:div>
        <w:div w:id="604194059">
          <w:marLeft w:val="0"/>
          <w:marRight w:val="0"/>
          <w:marTop w:val="0"/>
          <w:marBottom w:val="0"/>
          <w:divBdr>
            <w:top w:val="none" w:sz="0" w:space="0" w:color="auto"/>
            <w:left w:val="none" w:sz="0" w:space="0" w:color="auto"/>
            <w:bottom w:val="none" w:sz="0" w:space="0" w:color="auto"/>
            <w:right w:val="none" w:sz="0" w:space="0" w:color="auto"/>
          </w:divBdr>
        </w:div>
        <w:div w:id="1709062668">
          <w:marLeft w:val="0"/>
          <w:marRight w:val="0"/>
          <w:marTop w:val="0"/>
          <w:marBottom w:val="0"/>
          <w:divBdr>
            <w:top w:val="none" w:sz="0" w:space="0" w:color="auto"/>
            <w:left w:val="none" w:sz="0" w:space="0" w:color="auto"/>
            <w:bottom w:val="none" w:sz="0" w:space="0" w:color="auto"/>
            <w:right w:val="none" w:sz="0" w:space="0" w:color="auto"/>
          </w:divBdr>
        </w:div>
        <w:div w:id="84034689">
          <w:marLeft w:val="0"/>
          <w:marRight w:val="0"/>
          <w:marTop w:val="0"/>
          <w:marBottom w:val="0"/>
          <w:divBdr>
            <w:top w:val="none" w:sz="0" w:space="0" w:color="auto"/>
            <w:left w:val="none" w:sz="0" w:space="0" w:color="auto"/>
            <w:bottom w:val="none" w:sz="0" w:space="0" w:color="auto"/>
            <w:right w:val="none" w:sz="0" w:space="0" w:color="auto"/>
          </w:divBdr>
        </w:div>
        <w:div w:id="348485396">
          <w:marLeft w:val="0"/>
          <w:marRight w:val="0"/>
          <w:marTop w:val="0"/>
          <w:marBottom w:val="0"/>
          <w:divBdr>
            <w:top w:val="none" w:sz="0" w:space="0" w:color="auto"/>
            <w:left w:val="none" w:sz="0" w:space="0" w:color="auto"/>
            <w:bottom w:val="none" w:sz="0" w:space="0" w:color="auto"/>
            <w:right w:val="none" w:sz="0" w:space="0" w:color="auto"/>
          </w:divBdr>
        </w:div>
        <w:div w:id="1570386914">
          <w:marLeft w:val="0"/>
          <w:marRight w:val="0"/>
          <w:marTop w:val="0"/>
          <w:marBottom w:val="0"/>
          <w:divBdr>
            <w:top w:val="none" w:sz="0" w:space="0" w:color="auto"/>
            <w:left w:val="none" w:sz="0" w:space="0" w:color="auto"/>
            <w:bottom w:val="none" w:sz="0" w:space="0" w:color="auto"/>
            <w:right w:val="none" w:sz="0" w:space="0" w:color="auto"/>
          </w:divBdr>
        </w:div>
        <w:div w:id="1881473189">
          <w:marLeft w:val="0"/>
          <w:marRight w:val="0"/>
          <w:marTop w:val="0"/>
          <w:marBottom w:val="0"/>
          <w:divBdr>
            <w:top w:val="none" w:sz="0" w:space="0" w:color="auto"/>
            <w:left w:val="none" w:sz="0" w:space="0" w:color="auto"/>
            <w:bottom w:val="none" w:sz="0" w:space="0" w:color="auto"/>
            <w:right w:val="none" w:sz="0" w:space="0" w:color="auto"/>
          </w:divBdr>
        </w:div>
        <w:div w:id="1084957674">
          <w:marLeft w:val="0"/>
          <w:marRight w:val="0"/>
          <w:marTop w:val="0"/>
          <w:marBottom w:val="0"/>
          <w:divBdr>
            <w:top w:val="none" w:sz="0" w:space="0" w:color="auto"/>
            <w:left w:val="none" w:sz="0" w:space="0" w:color="auto"/>
            <w:bottom w:val="none" w:sz="0" w:space="0" w:color="auto"/>
            <w:right w:val="none" w:sz="0" w:space="0" w:color="auto"/>
          </w:divBdr>
        </w:div>
        <w:div w:id="1265117197">
          <w:marLeft w:val="0"/>
          <w:marRight w:val="0"/>
          <w:marTop w:val="0"/>
          <w:marBottom w:val="0"/>
          <w:divBdr>
            <w:top w:val="none" w:sz="0" w:space="0" w:color="auto"/>
            <w:left w:val="none" w:sz="0" w:space="0" w:color="auto"/>
            <w:bottom w:val="none" w:sz="0" w:space="0" w:color="auto"/>
            <w:right w:val="none" w:sz="0" w:space="0" w:color="auto"/>
          </w:divBdr>
        </w:div>
        <w:div w:id="275330007">
          <w:marLeft w:val="0"/>
          <w:marRight w:val="0"/>
          <w:marTop w:val="0"/>
          <w:marBottom w:val="0"/>
          <w:divBdr>
            <w:top w:val="none" w:sz="0" w:space="0" w:color="auto"/>
            <w:left w:val="none" w:sz="0" w:space="0" w:color="auto"/>
            <w:bottom w:val="none" w:sz="0" w:space="0" w:color="auto"/>
            <w:right w:val="none" w:sz="0" w:space="0" w:color="auto"/>
          </w:divBdr>
        </w:div>
        <w:div w:id="1165363906">
          <w:marLeft w:val="0"/>
          <w:marRight w:val="0"/>
          <w:marTop w:val="0"/>
          <w:marBottom w:val="0"/>
          <w:divBdr>
            <w:top w:val="none" w:sz="0" w:space="0" w:color="auto"/>
            <w:left w:val="none" w:sz="0" w:space="0" w:color="auto"/>
            <w:bottom w:val="none" w:sz="0" w:space="0" w:color="auto"/>
            <w:right w:val="none" w:sz="0" w:space="0" w:color="auto"/>
          </w:divBdr>
        </w:div>
        <w:div w:id="792796554">
          <w:marLeft w:val="0"/>
          <w:marRight w:val="0"/>
          <w:marTop w:val="0"/>
          <w:marBottom w:val="0"/>
          <w:divBdr>
            <w:top w:val="none" w:sz="0" w:space="0" w:color="auto"/>
            <w:left w:val="none" w:sz="0" w:space="0" w:color="auto"/>
            <w:bottom w:val="none" w:sz="0" w:space="0" w:color="auto"/>
            <w:right w:val="none" w:sz="0" w:space="0" w:color="auto"/>
          </w:divBdr>
        </w:div>
        <w:div w:id="1164662926">
          <w:marLeft w:val="0"/>
          <w:marRight w:val="0"/>
          <w:marTop w:val="0"/>
          <w:marBottom w:val="0"/>
          <w:divBdr>
            <w:top w:val="none" w:sz="0" w:space="0" w:color="auto"/>
            <w:left w:val="none" w:sz="0" w:space="0" w:color="auto"/>
            <w:bottom w:val="none" w:sz="0" w:space="0" w:color="auto"/>
            <w:right w:val="none" w:sz="0" w:space="0" w:color="auto"/>
          </w:divBdr>
        </w:div>
        <w:div w:id="1802070315">
          <w:marLeft w:val="0"/>
          <w:marRight w:val="0"/>
          <w:marTop w:val="0"/>
          <w:marBottom w:val="0"/>
          <w:divBdr>
            <w:top w:val="none" w:sz="0" w:space="0" w:color="auto"/>
            <w:left w:val="none" w:sz="0" w:space="0" w:color="auto"/>
            <w:bottom w:val="none" w:sz="0" w:space="0" w:color="auto"/>
            <w:right w:val="none" w:sz="0" w:space="0" w:color="auto"/>
          </w:divBdr>
        </w:div>
        <w:div w:id="1168401444">
          <w:marLeft w:val="0"/>
          <w:marRight w:val="0"/>
          <w:marTop w:val="0"/>
          <w:marBottom w:val="0"/>
          <w:divBdr>
            <w:top w:val="none" w:sz="0" w:space="0" w:color="auto"/>
            <w:left w:val="none" w:sz="0" w:space="0" w:color="auto"/>
            <w:bottom w:val="none" w:sz="0" w:space="0" w:color="auto"/>
            <w:right w:val="none" w:sz="0" w:space="0" w:color="auto"/>
          </w:divBdr>
        </w:div>
        <w:div w:id="1367750813">
          <w:marLeft w:val="0"/>
          <w:marRight w:val="0"/>
          <w:marTop w:val="0"/>
          <w:marBottom w:val="0"/>
          <w:divBdr>
            <w:top w:val="none" w:sz="0" w:space="0" w:color="auto"/>
            <w:left w:val="none" w:sz="0" w:space="0" w:color="auto"/>
            <w:bottom w:val="none" w:sz="0" w:space="0" w:color="auto"/>
            <w:right w:val="none" w:sz="0" w:space="0" w:color="auto"/>
          </w:divBdr>
        </w:div>
        <w:div w:id="1789012000">
          <w:marLeft w:val="0"/>
          <w:marRight w:val="0"/>
          <w:marTop w:val="0"/>
          <w:marBottom w:val="0"/>
          <w:divBdr>
            <w:top w:val="none" w:sz="0" w:space="0" w:color="auto"/>
            <w:left w:val="none" w:sz="0" w:space="0" w:color="auto"/>
            <w:bottom w:val="none" w:sz="0" w:space="0" w:color="auto"/>
            <w:right w:val="none" w:sz="0" w:space="0" w:color="auto"/>
          </w:divBdr>
        </w:div>
        <w:div w:id="1426196345">
          <w:marLeft w:val="0"/>
          <w:marRight w:val="0"/>
          <w:marTop w:val="0"/>
          <w:marBottom w:val="0"/>
          <w:divBdr>
            <w:top w:val="none" w:sz="0" w:space="0" w:color="auto"/>
            <w:left w:val="none" w:sz="0" w:space="0" w:color="auto"/>
            <w:bottom w:val="none" w:sz="0" w:space="0" w:color="auto"/>
            <w:right w:val="none" w:sz="0" w:space="0" w:color="auto"/>
          </w:divBdr>
        </w:div>
        <w:div w:id="1084106978">
          <w:marLeft w:val="0"/>
          <w:marRight w:val="0"/>
          <w:marTop w:val="0"/>
          <w:marBottom w:val="0"/>
          <w:divBdr>
            <w:top w:val="none" w:sz="0" w:space="0" w:color="auto"/>
            <w:left w:val="none" w:sz="0" w:space="0" w:color="auto"/>
            <w:bottom w:val="none" w:sz="0" w:space="0" w:color="auto"/>
            <w:right w:val="none" w:sz="0" w:space="0" w:color="auto"/>
          </w:divBdr>
        </w:div>
        <w:div w:id="10840811">
          <w:marLeft w:val="0"/>
          <w:marRight w:val="0"/>
          <w:marTop w:val="0"/>
          <w:marBottom w:val="0"/>
          <w:divBdr>
            <w:top w:val="none" w:sz="0" w:space="0" w:color="auto"/>
            <w:left w:val="none" w:sz="0" w:space="0" w:color="auto"/>
            <w:bottom w:val="none" w:sz="0" w:space="0" w:color="auto"/>
            <w:right w:val="none" w:sz="0" w:space="0" w:color="auto"/>
          </w:divBdr>
        </w:div>
        <w:div w:id="1420058952">
          <w:marLeft w:val="0"/>
          <w:marRight w:val="0"/>
          <w:marTop w:val="0"/>
          <w:marBottom w:val="0"/>
          <w:divBdr>
            <w:top w:val="none" w:sz="0" w:space="0" w:color="auto"/>
            <w:left w:val="none" w:sz="0" w:space="0" w:color="auto"/>
            <w:bottom w:val="none" w:sz="0" w:space="0" w:color="auto"/>
            <w:right w:val="none" w:sz="0" w:space="0" w:color="auto"/>
          </w:divBdr>
        </w:div>
        <w:div w:id="994454243">
          <w:marLeft w:val="0"/>
          <w:marRight w:val="0"/>
          <w:marTop w:val="0"/>
          <w:marBottom w:val="0"/>
          <w:divBdr>
            <w:top w:val="none" w:sz="0" w:space="0" w:color="auto"/>
            <w:left w:val="none" w:sz="0" w:space="0" w:color="auto"/>
            <w:bottom w:val="none" w:sz="0" w:space="0" w:color="auto"/>
            <w:right w:val="none" w:sz="0" w:space="0" w:color="auto"/>
          </w:divBdr>
        </w:div>
        <w:div w:id="1592854311">
          <w:marLeft w:val="0"/>
          <w:marRight w:val="0"/>
          <w:marTop w:val="0"/>
          <w:marBottom w:val="0"/>
          <w:divBdr>
            <w:top w:val="none" w:sz="0" w:space="0" w:color="auto"/>
            <w:left w:val="none" w:sz="0" w:space="0" w:color="auto"/>
            <w:bottom w:val="none" w:sz="0" w:space="0" w:color="auto"/>
            <w:right w:val="none" w:sz="0" w:space="0" w:color="auto"/>
          </w:divBdr>
        </w:div>
        <w:div w:id="1856532031">
          <w:marLeft w:val="0"/>
          <w:marRight w:val="0"/>
          <w:marTop w:val="0"/>
          <w:marBottom w:val="0"/>
          <w:divBdr>
            <w:top w:val="none" w:sz="0" w:space="0" w:color="auto"/>
            <w:left w:val="none" w:sz="0" w:space="0" w:color="auto"/>
            <w:bottom w:val="none" w:sz="0" w:space="0" w:color="auto"/>
            <w:right w:val="none" w:sz="0" w:space="0" w:color="auto"/>
          </w:divBdr>
        </w:div>
        <w:div w:id="2138911007">
          <w:marLeft w:val="0"/>
          <w:marRight w:val="0"/>
          <w:marTop w:val="0"/>
          <w:marBottom w:val="0"/>
          <w:divBdr>
            <w:top w:val="none" w:sz="0" w:space="0" w:color="auto"/>
            <w:left w:val="none" w:sz="0" w:space="0" w:color="auto"/>
            <w:bottom w:val="none" w:sz="0" w:space="0" w:color="auto"/>
            <w:right w:val="none" w:sz="0" w:space="0" w:color="auto"/>
          </w:divBdr>
        </w:div>
        <w:div w:id="260652626">
          <w:marLeft w:val="0"/>
          <w:marRight w:val="0"/>
          <w:marTop w:val="0"/>
          <w:marBottom w:val="0"/>
          <w:divBdr>
            <w:top w:val="none" w:sz="0" w:space="0" w:color="auto"/>
            <w:left w:val="none" w:sz="0" w:space="0" w:color="auto"/>
            <w:bottom w:val="none" w:sz="0" w:space="0" w:color="auto"/>
            <w:right w:val="none" w:sz="0" w:space="0" w:color="auto"/>
          </w:divBdr>
        </w:div>
        <w:div w:id="2081630689">
          <w:marLeft w:val="0"/>
          <w:marRight w:val="0"/>
          <w:marTop w:val="0"/>
          <w:marBottom w:val="0"/>
          <w:divBdr>
            <w:top w:val="none" w:sz="0" w:space="0" w:color="auto"/>
            <w:left w:val="none" w:sz="0" w:space="0" w:color="auto"/>
            <w:bottom w:val="none" w:sz="0" w:space="0" w:color="auto"/>
            <w:right w:val="none" w:sz="0" w:space="0" w:color="auto"/>
          </w:divBdr>
        </w:div>
        <w:div w:id="1022979356">
          <w:marLeft w:val="0"/>
          <w:marRight w:val="0"/>
          <w:marTop w:val="0"/>
          <w:marBottom w:val="0"/>
          <w:divBdr>
            <w:top w:val="none" w:sz="0" w:space="0" w:color="auto"/>
            <w:left w:val="none" w:sz="0" w:space="0" w:color="auto"/>
            <w:bottom w:val="none" w:sz="0" w:space="0" w:color="auto"/>
            <w:right w:val="none" w:sz="0" w:space="0" w:color="auto"/>
          </w:divBdr>
        </w:div>
        <w:div w:id="85854040">
          <w:marLeft w:val="0"/>
          <w:marRight w:val="0"/>
          <w:marTop w:val="0"/>
          <w:marBottom w:val="0"/>
          <w:divBdr>
            <w:top w:val="none" w:sz="0" w:space="0" w:color="auto"/>
            <w:left w:val="none" w:sz="0" w:space="0" w:color="auto"/>
            <w:bottom w:val="none" w:sz="0" w:space="0" w:color="auto"/>
            <w:right w:val="none" w:sz="0" w:space="0" w:color="auto"/>
          </w:divBdr>
        </w:div>
        <w:div w:id="921065237">
          <w:marLeft w:val="0"/>
          <w:marRight w:val="0"/>
          <w:marTop w:val="0"/>
          <w:marBottom w:val="0"/>
          <w:divBdr>
            <w:top w:val="none" w:sz="0" w:space="0" w:color="auto"/>
            <w:left w:val="none" w:sz="0" w:space="0" w:color="auto"/>
            <w:bottom w:val="none" w:sz="0" w:space="0" w:color="auto"/>
            <w:right w:val="none" w:sz="0" w:space="0" w:color="auto"/>
          </w:divBdr>
        </w:div>
        <w:div w:id="1384596821">
          <w:marLeft w:val="0"/>
          <w:marRight w:val="0"/>
          <w:marTop w:val="0"/>
          <w:marBottom w:val="0"/>
          <w:divBdr>
            <w:top w:val="none" w:sz="0" w:space="0" w:color="auto"/>
            <w:left w:val="none" w:sz="0" w:space="0" w:color="auto"/>
            <w:bottom w:val="none" w:sz="0" w:space="0" w:color="auto"/>
            <w:right w:val="none" w:sz="0" w:space="0" w:color="auto"/>
          </w:divBdr>
        </w:div>
        <w:div w:id="1483350862">
          <w:marLeft w:val="0"/>
          <w:marRight w:val="0"/>
          <w:marTop w:val="0"/>
          <w:marBottom w:val="0"/>
          <w:divBdr>
            <w:top w:val="none" w:sz="0" w:space="0" w:color="auto"/>
            <w:left w:val="none" w:sz="0" w:space="0" w:color="auto"/>
            <w:bottom w:val="none" w:sz="0" w:space="0" w:color="auto"/>
            <w:right w:val="none" w:sz="0" w:space="0" w:color="auto"/>
          </w:divBdr>
        </w:div>
        <w:div w:id="1825774135">
          <w:marLeft w:val="0"/>
          <w:marRight w:val="0"/>
          <w:marTop w:val="0"/>
          <w:marBottom w:val="0"/>
          <w:divBdr>
            <w:top w:val="none" w:sz="0" w:space="0" w:color="auto"/>
            <w:left w:val="none" w:sz="0" w:space="0" w:color="auto"/>
            <w:bottom w:val="none" w:sz="0" w:space="0" w:color="auto"/>
            <w:right w:val="none" w:sz="0" w:space="0" w:color="auto"/>
          </w:divBdr>
        </w:div>
        <w:div w:id="994527348">
          <w:marLeft w:val="0"/>
          <w:marRight w:val="0"/>
          <w:marTop w:val="0"/>
          <w:marBottom w:val="0"/>
          <w:divBdr>
            <w:top w:val="none" w:sz="0" w:space="0" w:color="auto"/>
            <w:left w:val="none" w:sz="0" w:space="0" w:color="auto"/>
            <w:bottom w:val="none" w:sz="0" w:space="0" w:color="auto"/>
            <w:right w:val="none" w:sz="0" w:space="0" w:color="auto"/>
          </w:divBdr>
        </w:div>
        <w:div w:id="691414070">
          <w:marLeft w:val="0"/>
          <w:marRight w:val="0"/>
          <w:marTop w:val="0"/>
          <w:marBottom w:val="0"/>
          <w:divBdr>
            <w:top w:val="none" w:sz="0" w:space="0" w:color="auto"/>
            <w:left w:val="none" w:sz="0" w:space="0" w:color="auto"/>
            <w:bottom w:val="none" w:sz="0" w:space="0" w:color="auto"/>
            <w:right w:val="none" w:sz="0" w:space="0" w:color="auto"/>
          </w:divBdr>
        </w:div>
        <w:div w:id="863438800">
          <w:marLeft w:val="0"/>
          <w:marRight w:val="0"/>
          <w:marTop w:val="0"/>
          <w:marBottom w:val="0"/>
          <w:divBdr>
            <w:top w:val="none" w:sz="0" w:space="0" w:color="auto"/>
            <w:left w:val="none" w:sz="0" w:space="0" w:color="auto"/>
            <w:bottom w:val="none" w:sz="0" w:space="0" w:color="auto"/>
            <w:right w:val="none" w:sz="0" w:space="0" w:color="auto"/>
          </w:divBdr>
        </w:div>
        <w:div w:id="797838582">
          <w:marLeft w:val="0"/>
          <w:marRight w:val="0"/>
          <w:marTop w:val="0"/>
          <w:marBottom w:val="0"/>
          <w:divBdr>
            <w:top w:val="none" w:sz="0" w:space="0" w:color="auto"/>
            <w:left w:val="none" w:sz="0" w:space="0" w:color="auto"/>
            <w:bottom w:val="none" w:sz="0" w:space="0" w:color="auto"/>
            <w:right w:val="none" w:sz="0" w:space="0" w:color="auto"/>
          </w:divBdr>
        </w:div>
        <w:div w:id="1105229233">
          <w:marLeft w:val="0"/>
          <w:marRight w:val="0"/>
          <w:marTop w:val="0"/>
          <w:marBottom w:val="0"/>
          <w:divBdr>
            <w:top w:val="none" w:sz="0" w:space="0" w:color="auto"/>
            <w:left w:val="none" w:sz="0" w:space="0" w:color="auto"/>
            <w:bottom w:val="none" w:sz="0" w:space="0" w:color="auto"/>
            <w:right w:val="none" w:sz="0" w:space="0" w:color="auto"/>
          </w:divBdr>
        </w:div>
        <w:div w:id="1008171532">
          <w:marLeft w:val="0"/>
          <w:marRight w:val="0"/>
          <w:marTop w:val="0"/>
          <w:marBottom w:val="0"/>
          <w:divBdr>
            <w:top w:val="none" w:sz="0" w:space="0" w:color="auto"/>
            <w:left w:val="none" w:sz="0" w:space="0" w:color="auto"/>
            <w:bottom w:val="none" w:sz="0" w:space="0" w:color="auto"/>
            <w:right w:val="none" w:sz="0" w:space="0" w:color="auto"/>
          </w:divBdr>
        </w:div>
        <w:div w:id="1002705681">
          <w:marLeft w:val="0"/>
          <w:marRight w:val="0"/>
          <w:marTop w:val="0"/>
          <w:marBottom w:val="0"/>
          <w:divBdr>
            <w:top w:val="none" w:sz="0" w:space="0" w:color="auto"/>
            <w:left w:val="none" w:sz="0" w:space="0" w:color="auto"/>
            <w:bottom w:val="none" w:sz="0" w:space="0" w:color="auto"/>
            <w:right w:val="none" w:sz="0" w:space="0" w:color="auto"/>
          </w:divBdr>
        </w:div>
        <w:div w:id="2117172516">
          <w:marLeft w:val="0"/>
          <w:marRight w:val="0"/>
          <w:marTop w:val="0"/>
          <w:marBottom w:val="0"/>
          <w:divBdr>
            <w:top w:val="none" w:sz="0" w:space="0" w:color="auto"/>
            <w:left w:val="none" w:sz="0" w:space="0" w:color="auto"/>
            <w:bottom w:val="none" w:sz="0" w:space="0" w:color="auto"/>
            <w:right w:val="none" w:sz="0" w:space="0" w:color="auto"/>
          </w:divBdr>
        </w:div>
        <w:div w:id="180167405">
          <w:marLeft w:val="0"/>
          <w:marRight w:val="0"/>
          <w:marTop w:val="0"/>
          <w:marBottom w:val="0"/>
          <w:divBdr>
            <w:top w:val="none" w:sz="0" w:space="0" w:color="auto"/>
            <w:left w:val="none" w:sz="0" w:space="0" w:color="auto"/>
            <w:bottom w:val="none" w:sz="0" w:space="0" w:color="auto"/>
            <w:right w:val="none" w:sz="0" w:space="0" w:color="auto"/>
          </w:divBdr>
        </w:div>
        <w:div w:id="2054963376">
          <w:marLeft w:val="0"/>
          <w:marRight w:val="0"/>
          <w:marTop w:val="0"/>
          <w:marBottom w:val="0"/>
          <w:divBdr>
            <w:top w:val="none" w:sz="0" w:space="0" w:color="auto"/>
            <w:left w:val="none" w:sz="0" w:space="0" w:color="auto"/>
            <w:bottom w:val="none" w:sz="0" w:space="0" w:color="auto"/>
            <w:right w:val="none" w:sz="0" w:space="0" w:color="auto"/>
          </w:divBdr>
        </w:div>
        <w:div w:id="1235091595">
          <w:marLeft w:val="0"/>
          <w:marRight w:val="0"/>
          <w:marTop w:val="0"/>
          <w:marBottom w:val="0"/>
          <w:divBdr>
            <w:top w:val="none" w:sz="0" w:space="0" w:color="auto"/>
            <w:left w:val="none" w:sz="0" w:space="0" w:color="auto"/>
            <w:bottom w:val="none" w:sz="0" w:space="0" w:color="auto"/>
            <w:right w:val="none" w:sz="0" w:space="0" w:color="auto"/>
          </w:divBdr>
        </w:div>
        <w:div w:id="1846675477">
          <w:marLeft w:val="0"/>
          <w:marRight w:val="0"/>
          <w:marTop w:val="0"/>
          <w:marBottom w:val="0"/>
          <w:divBdr>
            <w:top w:val="none" w:sz="0" w:space="0" w:color="auto"/>
            <w:left w:val="none" w:sz="0" w:space="0" w:color="auto"/>
            <w:bottom w:val="none" w:sz="0" w:space="0" w:color="auto"/>
            <w:right w:val="none" w:sz="0" w:space="0" w:color="auto"/>
          </w:divBdr>
        </w:div>
        <w:div w:id="172570886">
          <w:marLeft w:val="0"/>
          <w:marRight w:val="0"/>
          <w:marTop w:val="0"/>
          <w:marBottom w:val="0"/>
          <w:divBdr>
            <w:top w:val="none" w:sz="0" w:space="0" w:color="auto"/>
            <w:left w:val="none" w:sz="0" w:space="0" w:color="auto"/>
            <w:bottom w:val="none" w:sz="0" w:space="0" w:color="auto"/>
            <w:right w:val="none" w:sz="0" w:space="0" w:color="auto"/>
          </w:divBdr>
        </w:div>
        <w:div w:id="792135249">
          <w:marLeft w:val="0"/>
          <w:marRight w:val="0"/>
          <w:marTop w:val="0"/>
          <w:marBottom w:val="0"/>
          <w:divBdr>
            <w:top w:val="none" w:sz="0" w:space="0" w:color="auto"/>
            <w:left w:val="none" w:sz="0" w:space="0" w:color="auto"/>
            <w:bottom w:val="none" w:sz="0" w:space="0" w:color="auto"/>
            <w:right w:val="none" w:sz="0" w:space="0" w:color="auto"/>
          </w:divBdr>
        </w:div>
        <w:div w:id="1702700874">
          <w:marLeft w:val="0"/>
          <w:marRight w:val="0"/>
          <w:marTop w:val="0"/>
          <w:marBottom w:val="0"/>
          <w:divBdr>
            <w:top w:val="none" w:sz="0" w:space="0" w:color="auto"/>
            <w:left w:val="none" w:sz="0" w:space="0" w:color="auto"/>
            <w:bottom w:val="none" w:sz="0" w:space="0" w:color="auto"/>
            <w:right w:val="none" w:sz="0" w:space="0" w:color="auto"/>
          </w:divBdr>
        </w:div>
        <w:div w:id="1711302940">
          <w:marLeft w:val="0"/>
          <w:marRight w:val="0"/>
          <w:marTop w:val="0"/>
          <w:marBottom w:val="0"/>
          <w:divBdr>
            <w:top w:val="none" w:sz="0" w:space="0" w:color="auto"/>
            <w:left w:val="none" w:sz="0" w:space="0" w:color="auto"/>
            <w:bottom w:val="none" w:sz="0" w:space="0" w:color="auto"/>
            <w:right w:val="none" w:sz="0" w:space="0" w:color="auto"/>
          </w:divBdr>
        </w:div>
        <w:div w:id="216550455">
          <w:marLeft w:val="0"/>
          <w:marRight w:val="0"/>
          <w:marTop w:val="0"/>
          <w:marBottom w:val="0"/>
          <w:divBdr>
            <w:top w:val="none" w:sz="0" w:space="0" w:color="auto"/>
            <w:left w:val="none" w:sz="0" w:space="0" w:color="auto"/>
            <w:bottom w:val="none" w:sz="0" w:space="0" w:color="auto"/>
            <w:right w:val="none" w:sz="0" w:space="0" w:color="auto"/>
          </w:divBdr>
        </w:div>
        <w:div w:id="27878673">
          <w:marLeft w:val="0"/>
          <w:marRight w:val="0"/>
          <w:marTop w:val="0"/>
          <w:marBottom w:val="0"/>
          <w:divBdr>
            <w:top w:val="none" w:sz="0" w:space="0" w:color="auto"/>
            <w:left w:val="none" w:sz="0" w:space="0" w:color="auto"/>
            <w:bottom w:val="none" w:sz="0" w:space="0" w:color="auto"/>
            <w:right w:val="none" w:sz="0" w:space="0" w:color="auto"/>
          </w:divBdr>
        </w:div>
        <w:div w:id="1362589178">
          <w:marLeft w:val="0"/>
          <w:marRight w:val="0"/>
          <w:marTop w:val="0"/>
          <w:marBottom w:val="0"/>
          <w:divBdr>
            <w:top w:val="none" w:sz="0" w:space="0" w:color="auto"/>
            <w:left w:val="none" w:sz="0" w:space="0" w:color="auto"/>
            <w:bottom w:val="none" w:sz="0" w:space="0" w:color="auto"/>
            <w:right w:val="none" w:sz="0" w:space="0" w:color="auto"/>
          </w:divBdr>
        </w:div>
        <w:div w:id="903565565">
          <w:marLeft w:val="0"/>
          <w:marRight w:val="0"/>
          <w:marTop w:val="0"/>
          <w:marBottom w:val="0"/>
          <w:divBdr>
            <w:top w:val="none" w:sz="0" w:space="0" w:color="auto"/>
            <w:left w:val="none" w:sz="0" w:space="0" w:color="auto"/>
            <w:bottom w:val="none" w:sz="0" w:space="0" w:color="auto"/>
            <w:right w:val="none" w:sz="0" w:space="0" w:color="auto"/>
          </w:divBdr>
        </w:div>
        <w:div w:id="597492690">
          <w:marLeft w:val="0"/>
          <w:marRight w:val="0"/>
          <w:marTop w:val="0"/>
          <w:marBottom w:val="0"/>
          <w:divBdr>
            <w:top w:val="none" w:sz="0" w:space="0" w:color="auto"/>
            <w:left w:val="none" w:sz="0" w:space="0" w:color="auto"/>
            <w:bottom w:val="none" w:sz="0" w:space="0" w:color="auto"/>
            <w:right w:val="none" w:sz="0" w:space="0" w:color="auto"/>
          </w:divBdr>
        </w:div>
        <w:div w:id="457266146">
          <w:marLeft w:val="0"/>
          <w:marRight w:val="0"/>
          <w:marTop w:val="0"/>
          <w:marBottom w:val="0"/>
          <w:divBdr>
            <w:top w:val="none" w:sz="0" w:space="0" w:color="auto"/>
            <w:left w:val="none" w:sz="0" w:space="0" w:color="auto"/>
            <w:bottom w:val="none" w:sz="0" w:space="0" w:color="auto"/>
            <w:right w:val="none" w:sz="0" w:space="0" w:color="auto"/>
          </w:divBdr>
        </w:div>
        <w:div w:id="727534109">
          <w:marLeft w:val="0"/>
          <w:marRight w:val="0"/>
          <w:marTop w:val="0"/>
          <w:marBottom w:val="0"/>
          <w:divBdr>
            <w:top w:val="none" w:sz="0" w:space="0" w:color="auto"/>
            <w:left w:val="none" w:sz="0" w:space="0" w:color="auto"/>
            <w:bottom w:val="none" w:sz="0" w:space="0" w:color="auto"/>
            <w:right w:val="none" w:sz="0" w:space="0" w:color="auto"/>
          </w:divBdr>
        </w:div>
        <w:div w:id="1551111547">
          <w:marLeft w:val="0"/>
          <w:marRight w:val="0"/>
          <w:marTop w:val="0"/>
          <w:marBottom w:val="0"/>
          <w:divBdr>
            <w:top w:val="none" w:sz="0" w:space="0" w:color="auto"/>
            <w:left w:val="none" w:sz="0" w:space="0" w:color="auto"/>
            <w:bottom w:val="none" w:sz="0" w:space="0" w:color="auto"/>
            <w:right w:val="none" w:sz="0" w:space="0" w:color="auto"/>
          </w:divBdr>
        </w:div>
        <w:div w:id="521011911">
          <w:marLeft w:val="0"/>
          <w:marRight w:val="0"/>
          <w:marTop w:val="0"/>
          <w:marBottom w:val="0"/>
          <w:divBdr>
            <w:top w:val="none" w:sz="0" w:space="0" w:color="auto"/>
            <w:left w:val="none" w:sz="0" w:space="0" w:color="auto"/>
            <w:bottom w:val="none" w:sz="0" w:space="0" w:color="auto"/>
            <w:right w:val="none" w:sz="0" w:space="0" w:color="auto"/>
          </w:divBdr>
        </w:div>
        <w:div w:id="621570968">
          <w:marLeft w:val="0"/>
          <w:marRight w:val="0"/>
          <w:marTop w:val="0"/>
          <w:marBottom w:val="0"/>
          <w:divBdr>
            <w:top w:val="none" w:sz="0" w:space="0" w:color="auto"/>
            <w:left w:val="none" w:sz="0" w:space="0" w:color="auto"/>
            <w:bottom w:val="none" w:sz="0" w:space="0" w:color="auto"/>
            <w:right w:val="none" w:sz="0" w:space="0" w:color="auto"/>
          </w:divBdr>
        </w:div>
        <w:div w:id="1423186960">
          <w:marLeft w:val="0"/>
          <w:marRight w:val="0"/>
          <w:marTop w:val="0"/>
          <w:marBottom w:val="0"/>
          <w:divBdr>
            <w:top w:val="none" w:sz="0" w:space="0" w:color="auto"/>
            <w:left w:val="none" w:sz="0" w:space="0" w:color="auto"/>
            <w:bottom w:val="none" w:sz="0" w:space="0" w:color="auto"/>
            <w:right w:val="none" w:sz="0" w:space="0" w:color="auto"/>
          </w:divBdr>
        </w:div>
        <w:div w:id="292754745">
          <w:marLeft w:val="0"/>
          <w:marRight w:val="0"/>
          <w:marTop w:val="0"/>
          <w:marBottom w:val="0"/>
          <w:divBdr>
            <w:top w:val="none" w:sz="0" w:space="0" w:color="auto"/>
            <w:left w:val="none" w:sz="0" w:space="0" w:color="auto"/>
            <w:bottom w:val="none" w:sz="0" w:space="0" w:color="auto"/>
            <w:right w:val="none" w:sz="0" w:space="0" w:color="auto"/>
          </w:divBdr>
        </w:div>
        <w:div w:id="698313100">
          <w:marLeft w:val="0"/>
          <w:marRight w:val="0"/>
          <w:marTop w:val="0"/>
          <w:marBottom w:val="0"/>
          <w:divBdr>
            <w:top w:val="none" w:sz="0" w:space="0" w:color="auto"/>
            <w:left w:val="none" w:sz="0" w:space="0" w:color="auto"/>
            <w:bottom w:val="none" w:sz="0" w:space="0" w:color="auto"/>
            <w:right w:val="none" w:sz="0" w:space="0" w:color="auto"/>
          </w:divBdr>
        </w:div>
        <w:div w:id="962030762">
          <w:marLeft w:val="0"/>
          <w:marRight w:val="0"/>
          <w:marTop w:val="0"/>
          <w:marBottom w:val="0"/>
          <w:divBdr>
            <w:top w:val="none" w:sz="0" w:space="0" w:color="auto"/>
            <w:left w:val="none" w:sz="0" w:space="0" w:color="auto"/>
            <w:bottom w:val="none" w:sz="0" w:space="0" w:color="auto"/>
            <w:right w:val="none" w:sz="0" w:space="0" w:color="auto"/>
          </w:divBdr>
        </w:div>
        <w:div w:id="1666395106">
          <w:marLeft w:val="0"/>
          <w:marRight w:val="0"/>
          <w:marTop w:val="0"/>
          <w:marBottom w:val="0"/>
          <w:divBdr>
            <w:top w:val="none" w:sz="0" w:space="0" w:color="auto"/>
            <w:left w:val="none" w:sz="0" w:space="0" w:color="auto"/>
            <w:bottom w:val="none" w:sz="0" w:space="0" w:color="auto"/>
            <w:right w:val="none" w:sz="0" w:space="0" w:color="auto"/>
          </w:divBdr>
        </w:div>
        <w:div w:id="498810074">
          <w:marLeft w:val="0"/>
          <w:marRight w:val="0"/>
          <w:marTop w:val="0"/>
          <w:marBottom w:val="0"/>
          <w:divBdr>
            <w:top w:val="none" w:sz="0" w:space="0" w:color="auto"/>
            <w:left w:val="none" w:sz="0" w:space="0" w:color="auto"/>
            <w:bottom w:val="none" w:sz="0" w:space="0" w:color="auto"/>
            <w:right w:val="none" w:sz="0" w:space="0" w:color="auto"/>
          </w:divBdr>
        </w:div>
        <w:div w:id="414017248">
          <w:marLeft w:val="0"/>
          <w:marRight w:val="0"/>
          <w:marTop w:val="0"/>
          <w:marBottom w:val="0"/>
          <w:divBdr>
            <w:top w:val="none" w:sz="0" w:space="0" w:color="auto"/>
            <w:left w:val="none" w:sz="0" w:space="0" w:color="auto"/>
            <w:bottom w:val="none" w:sz="0" w:space="0" w:color="auto"/>
            <w:right w:val="none" w:sz="0" w:space="0" w:color="auto"/>
          </w:divBdr>
        </w:div>
        <w:div w:id="1460224740">
          <w:marLeft w:val="0"/>
          <w:marRight w:val="0"/>
          <w:marTop w:val="0"/>
          <w:marBottom w:val="0"/>
          <w:divBdr>
            <w:top w:val="none" w:sz="0" w:space="0" w:color="auto"/>
            <w:left w:val="none" w:sz="0" w:space="0" w:color="auto"/>
            <w:bottom w:val="none" w:sz="0" w:space="0" w:color="auto"/>
            <w:right w:val="none" w:sz="0" w:space="0" w:color="auto"/>
          </w:divBdr>
        </w:div>
        <w:div w:id="896629440">
          <w:marLeft w:val="0"/>
          <w:marRight w:val="0"/>
          <w:marTop w:val="0"/>
          <w:marBottom w:val="0"/>
          <w:divBdr>
            <w:top w:val="none" w:sz="0" w:space="0" w:color="auto"/>
            <w:left w:val="none" w:sz="0" w:space="0" w:color="auto"/>
            <w:bottom w:val="none" w:sz="0" w:space="0" w:color="auto"/>
            <w:right w:val="none" w:sz="0" w:space="0" w:color="auto"/>
          </w:divBdr>
        </w:div>
        <w:div w:id="1305043303">
          <w:marLeft w:val="0"/>
          <w:marRight w:val="0"/>
          <w:marTop w:val="0"/>
          <w:marBottom w:val="0"/>
          <w:divBdr>
            <w:top w:val="none" w:sz="0" w:space="0" w:color="auto"/>
            <w:left w:val="none" w:sz="0" w:space="0" w:color="auto"/>
            <w:bottom w:val="none" w:sz="0" w:space="0" w:color="auto"/>
            <w:right w:val="none" w:sz="0" w:space="0" w:color="auto"/>
          </w:divBdr>
        </w:div>
        <w:div w:id="1506818216">
          <w:marLeft w:val="0"/>
          <w:marRight w:val="0"/>
          <w:marTop w:val="0"/>
          <w:marBottom w:val="0"/>
          <w:divBdr>
            <w:top w:val="none" w:sz="0" w:space="0" w:color="auto"/>
            <w:left w:val="none" w:sz="0" w:space="0" w:color="auto"/>
            <w:bottom w:val="none" w:sz="0" w:space="0" w:color="auto"/>
            <w:right w:val="none" w:sz="0" w:space="0" w:color="auto"/>
          </w:divBdr>
        </w:div>
        <w:div w:id="317684928">
          <w:marLeft w:val="0"/>
          <w:marRight w:val="0"/>
          <w:marTop w:val="0"/>
          <w:marBottom w:val="0"/>
          <w:divBdr>
            <w:top w:val="none" w:sz="0" w:space="0" w:color="auto"/>
            <w:left w:val="none" w:sz="0" w:space="0" w:color="auto"/>
            <w:bottom w:val="none" w:sz="0" w:space="0" w:color="auto"/>
            <w:right w:val="none" w:sz="0" w:space="0" w:color="auto"/>
          </w:divBdr>
        </w:div>
        <w:div w:id="2069068724">
          <w:marLeft w:val="0"/>
          <w:marRight w:val="0"/>
          <w:marTop w:val="0"/>
          <w:marBottom w:val="0"/>
          <w:divBdr>
            <w:top w:val="none" w:sz="0" w:space="0" w:color="auto"/>
            <w:left w:val="none" w:sz="0" w:space="0" w:color="auto"/>
            <w:bottom w:val="none" w:sz="0" w:space="0" w:color="auto"/>
            <w:right w:val="none" w:sz="0" w:space="0" w:color="auto"/>
          </w:divBdr>
        </w:div>
        <w:div w:id="1479569957">
          <w:marLeft w:val="0"/>
          <w:marRight w:val="0"/>
          <w:marTop w:val="0"/>
          <w:marBottom w:val="0"/>
          <w:divBdr>
            <w:top w:val="none" w:sz="0" w:space="0" w:color="auto"/>
            <w:left w:val="none" w:sz="0" w:space="0" w:color="auto"/>
            <w:bottom w:val="none" w:sz="0" w:space="0" w:color="auto"/>
            <w:right w:val="none" w:sz="0" w:space="0" w:color="auto"/>
          </w:divBdr>
        </w:div>
        <w:div w:id="468400884">
          <w:marLeft w:val="0"/>
          <w:marRight w:val="0"/>
          <w:marTop w:val="0"/>
          <w:marBottom w:val="0"/>
          <w:divBdr>
            <w:top w:val="none" w:sz="0" w:space="0" w:color="auto"/>
            <w:left w:val="none" w:sz="0" w:space="0" w:color="auto"/>
            <w:bottom w:val="none" w:sz="0" w:space="0" w:color="auto"/>
            <w:right w:val="none" w:sz="0" w:space="0" w:color="auto"/>
          </w:divBdr>
        </w:div>
        <w:div w:id="747653430">
          <w:marLeft w:val="0"/>
          <w:marRight w:val="0"/>
          <w:marTop w:val="0"/>
          <w:marBottom w:val="0"/>
          <w:divBdr>
            <w:top w:val="none" w:sz="0" w:space="0" w:color="auto"/>
            <w:left w:val="none" w:sz="0" w:space="0" w:color="auto"/>
            <w:bottom w:val="none" w:sz="0" w:space="0" w:color="auto"/>
            <w:right w:val="none" w:sz="0" w:space="0" w:color="auto"/>
          </w:divBdr>
        </w:div>
        <w:div w:id="859585518">
          <w:marLeft w:val="0"/>
          <w:marRight w:val="0"/>
          <w:marTop w:val="0"/>
          <w:marBottom w:val="0"/>
          <w:divBdr>
            <w:top w:val="none" w:sz="0" w:space="0" w:color="auto"/>
            <w:left w:val="none" w:sz="0" w:space="0" w:color="auto"/>
            <w:bottom w:val="none" w:sz="0" w:space="0" w:color="auto"/>
            <w:right w:val="none" w:sz="0" w:space="0" w:color="auto"/>
          </w:divBdr>
        </w:div>
        <w:div w:id="1028411251">
          <w:marLeft w:val="0"/>
          <w:marRight w:val="0"/>
          <w:marTop w:val="0"/>
          <w:marBottom w:val="0"/>
          <w:divBdr>
            <w:top w:val="none" w:sz="0" w:space="0" w:color="auto"/>
            <w:left w:val="none" w:sz="0" w:space="0" w:color="auto"/>
            <w:bottom w:val="none" w:sz="0" w:space="0" w:color="auto"/>
            <w:right w:val="none" w:sz="0" w:space="0" w:color="auto"/>
          </w:divBdr>
        </w:div>
        <w:div w:id="2109084622">
          <w:marLeft w:val="0"/>
          <w:marRight w:val="0"/>
          <w:marTop w:val="0"/>
          <w:marBottom w:val="0"/>
          <w:divBdr>
            <w:top w:val="none" w:sz="0" w:space="0" w:color="auto"/>
            <w:left w:val="none" w:sz="0" w:space="0" w:color="auto"/>
            <w:bottom w:val="none" w:sz="0" w:space="0" w:color="auto"/>
            <w:right w:val="none" w:sz="0" w:space="0" w:color="auto"/>
          </w:divBdr>
        </w:div>
        <w:div w:id="1440368817">
          <w:marLeft w:val="0"/>
          <w:marRight w:val="0"/>
          <w:marTop w:val="0"/>
          <w:marBottom w:val="0"/>
          <w:divBdr>
            <w:top w:val="none" w:sz="0" w:space="0" w:color="auto"/>
            <w:left w:val="none" w:sz="0" w:space="0" w:color="auto"/>
            <w:bottom w:val="none" w:sz="0" w:space="0" w:color="auto"/>
            <w:right w:val="none" w:sz="0" w:space="0" w:color="auto"/>
          </w:divBdr>
        </w:div>
        <w:div w:id="1259485743">
          <w:marLeft w:val="0"/>
          <w:marRight w:val="0"/>
          <w:marTop w:val="0"/>
          <w:marBottom w:val="0"/>
          <w:divBdr>
            <w:top w:val="none" w:sz="0" w:space="0" w:color="auto"/>
            <w:left w:val="none" w:sz="0" w:space="0" w:color="auto"/>
            <w:bottom w:val="none" w:sz="0" w:space="0" w:color="auto"/>
            <w:right w:val="none" w:sz="0" w:space="0" w:color="auto"/>
          </w:divBdr>
        </w:div>
        <w:div w:id="860247232">
          <w:marLeft w:val="0"/>
          <w:marRight w:val="0"/>
          <w:marTop w:val="0"/>
          <w:marBottom w:val="0"/>
          <w:divBdr>
            <w:top w:val="none" w:sz="0" w:space="0" w:color="auto"/>
            <w:left w:val="none" w:sz="0" w:space="0" w:color="auto"/>
            <w:bottom w:val="none" w:sz="0" w:space="0" w:color="auto"/>
            <w:right w:val="none" w:sz="0" w:space="0" w:color="auto"/>
          </w:divBdr>
        </w:div>
        <w:div w:id="1950045594">
          <w:marLeft w:val="0"/>
          <w:marRight w:val="0"/>
          <w:marTop w:val="0"/>
          <w:marBottom w:val="0"/>
          <w:divBdr>
            <w:top w:val="none" w:sz="0" w:space="0" w:color="auto"/>
            <w:left w:val="none" w:sz="0" w:space="0" w:color="auto"/>
            <w:bottom w:val="none" w:sz="0" w:space="0" w:color="auto"/>
            <w:right w:val="none" w:sz="0" w:space="0" w:color="auto"/>
          </w:divBdr>
        </w:div>
        <w:div w:id="488248243">
          <w:marLeft w:val="0"/>
          <w:marRight w:val="0"/>
          <w:marTop w:val="0"/>
          <w:marBottom w:val="0"/>
          <w:divBdr>
            <w:top w:val="none" w:sz="0" w:space="0" w:color="auto"/>
            <w:left w:val="none" w:sz="0" w:space="0" w:color="auto"/>
            <w:bottom w:val="none" w:sz="0" w:space="0" w:color="auto"/>
            <w:right w:val="none" w:sz="0" w:space="0" w:color="auto"/>
          </w:divBdr>
        </w:div>
        <w:div w:id="1066684044">
          <w:marLeft w:val="0"/>
          <w:marRight w:val="0"/>
          <w:marTop w:val="0"/>
          <w:marBottom w:val="0"/>
          <w:divBdr>
            <w:top w:val="none" w:sz="0" w:space="0" w:color="auto"/>
            <w:left w:val="none" w:sz="0" w:space="0" w:color="auto"/>
            <w:bottom w:val="none" w:sz="0" w:space="0" w:color="auto"/>
            <w:right w:val="none" w:sz="0" w:space="0" w:color="auto"/>
          </w:divBdr>
        </w:div>
        <w:div w:id="1603495775">
          <w:marLeft w:val="0"/>
          <w:marRight w:val="0"/>
          <w:marTop w:val="0"/>
          <w:marBottom w:val="0"/>
          <w:divBdr>
            <w:top w:val="none" w:sz="0" w:space="0" w:color="auto"/>
            <w:left w:val="none" w:sz="0" w:space="0" w:color="auto"/>
            <w:bottom w:val="none" w:sz="0" w:space="0" w:color="auto"/>
            <w:right w:val="none" w:sz="0" w:space="0" w:color="auto"/>
          </w:divBdr>
        </w:div>
        <w:div w:id="1013993486">
          <w:marLeft w:val="0"/>
          <w:marRight w:val="0"/>
          <w:marTop w:val="0"/>
          <w:marBottom w:val="0"/>
          <w:divBdr>
            <w:top w:val="none" w:sz="0" w:space="0" w:color="auto"/>
            <w:left w:val="none" w:sz="0" w:space="0" w:color="auto"/>
            <w:bottom w:val="none" w:sz="0" w:space="0" w:color="auto"/>
            <w:right w:val="none" w:sz="0" w:space="0" w:color="auto"/>
          </w:divBdr>
        </w:div>
        <w:div w:id="994838918">
          <w:marLeft w:val="0"/>
          <w:marRight w:val="0"/>
          <w:marTop w:val="0"/>
          <w:marBottom w:val="0"/>
          <w:divBdr>
            <w:top w:val="none" w:sz="0" w:space="0" w:color="auto"/>
            <w:left w:val="none" w:sz="0" w:space="0" w:color="auto"/>
            <w:bottom w:val="none" w:sz="0" w:space="0" w:color="auto"/>
            <w:right w:val="none" w:sz="0" w:space="0" w:color="auto"/>
          </w:divBdr>
        </w:div>
        <w:div w:id="1499343468">
          <w:marLeft w:val="0"/>
          <w:marRight w:val="0"/>
          <w:marTop w:val="0"/>
          <w:marBottom w:val="0"/>
          <w:divBdr>
            <w:top w:val="none" w:sz="0" w:space="0" w:color="auto"/>
            <w:left w:val="none" w:sz="0" w:space="0" w:color="auto"/>
            <w:bottom w:val="none" w:sz="0" w:space="0" w:color="auto"/>
            <w:right w:val="none" w:sz="0" w:space="0" w:color="auto"/>
          </w:divBdr>
        </w:div>
        <w:div w:id="418714663">
          <w:marLeft w:val="0"/>
          <w:marRight w:val="0"/>
          <w:marTop w:val="0"/>
          <w:marBottom w:val="0"/>
          <w:divBdr>
            <w:top w:val="none" w:sz="0" w:space="0" w:color="auto"/>
            <w:left w:val="none" w:sz="0" w:space="0" w:color="auto"/>
            <w:bottom w:val="none" w:sz="0" w:space="0" w:color="auto"/>
            <w:right w:val="none" w:sz="0" w:space="0" w:color="auto"/>
          </w:divBdr>
        </w:div>
        <w:div w:id="623776109">
          <w:marLeft w:val="0"/>
          <w:marRight w:val="0"/>
          <w:marTop w:val="0"/>
          <w:marBottom w:val="0"/>
          <w:divBdr>
            <w:top w:val="none" w:sz="0" w:space="0" w:color="auto"/>
            <w:left w:val="none" w:sz="0" w:space="0" w:color="auto"/>
            <w:bottom w:val="none" w:sz="0" w:space="0" w:color="auto"/>
            <w:right w:val="none" w:sz="0" w:space="0" w:color="auto"/>
          </w:divBdr>
        </w:div>
        <w:div w:id="522938490">
          <w:marLeft w:val="0"/>
          <w:marRight w:val="0"/>
          <w:marTop w:val="0"/>
          <w:marBottom w:val="0"/>
          <w:divBdr>
            <w:top w:val="none" w:sz="0" w:space="0" w:color="auto"/>
            <w:left w:val="none" w:sz="0" w:space="0" w:color="auto"/>
            <w:bottom w:val="none" w:sz="0" w:space="0" w:color="auto"/>
            <w:right w:val="none" w:sz="0" w:space="0" w:color="auto"/>
          </w:divBdr>
        </w:div>
        <w:div w:id="782116259">
          <w:marLeft w:val="0"/>
          <w:marRight w:val="0"/>
          <w:marTop w:val="0"/>
          <w:marBottom w:val="0"/>
          <w:divBdr>
            <w:top w:val="none" w:sz="0" w:space="0" w:color="auto"/>
            <w:left w:val="none" w:sz="0" w:space="0" w:color="auto"/>
            <w:bottom w:val="none" w:sz="0" w:space="0" w:color="auto"/>
            <w:right w:val="none" w:sz="0" w:space="0" w:color="auto"/>
          </w:divBdr>
        </w:div>
        <w:div w:id="1582520354">
          <w:marLeft w:val="0"/>
          <w:marRight w:val="0"/>
          <w:marTop w:val="0"/>
          <w:marBottom w:val="0"/>
          <w:divBdr>
            <w:top w:val="none" w:sz="0" w:space="0" w:color="auto"/>
            <w:left w:val="none" w:sz="0" w:space="0" w:color="auto"/>
            <w:bottom w:val="none" w:sz="0" w:space="0" w:color="auto"/>
            <w:right w:val="none" w:sz="0" w:space="0" w:color="auto"/>
          </w:divBdr>
        </w:div>
        <w:div w:id="1082793226">
          <w:marLeft w:val="0"/>
          <w:marRight w:val="0"/>
          <w:marTop w:val="0"/>
          <w:marBottom w:val="0"/>
          <w:divBdr>
            <w:top w:val="none" w:sz="0" w:space="0" w:color="auto"/>
            <w:left w:val="none" w:sz="0" w:space="0" w:color="auto"/>
            <w:bottom w:val="none" w:sz="0" w:space="0" w:color="auto"/>
            <w:right w:val="none" w:sz="0" w:space="0" w:color="auto"/>
          </w:divBdr>
        </w:div>
        <w:div w:id="346953187">
          <w:marLeft w:val="0"/>
          <w:marRight w:val="0"/>
          <w:marTop w:val="0"/>
          <w:marBottom w:val="0"/>
          <w:divBdr>
            <w:top w:val="none" w:sz="0" w:space="0" w:color="auto"/>
            <w:left w:val="none" w:sz="0" w:space="0" w:color="auto"/>
            <w:bottom w:val="none" w:sz="0" w:space="0" w:color="auto"/>
            <w:right w:val="none" w:sz="0" w:space="0" w:color="auto"/>
          </w:divBdr>
        </w:div>
        <w:div w:id="797992391">
          <w:marLeft w:val="0"/>
          <w:marRight w:val="0"/>
          <w:marTop w:val="0"/>
          <w:marBottom w:val="0"/>
          <w:divBdr>
            <w:top w:val="none" w:sz="0" w:space="0" w:color="auto"/>
            <w:left w:val="none" w:sz="0" w:space="0" w:color="auto"/>
            <w:bottom w:val="none" w:sz="0" w:space="0" w:color="auto"/>
            <w:right w:val="none" w:sz="0" w:space="0" w:color="auto"/>
          </w:divBdr>
        </w:div>
        <w:div w:id="888227508">
          <w:marLeft w:val="0"/>
          <w:marRight w:val="0"/>
          <w:marTop w:val="0"/>
          <w:marBottom w:val="0"/>
          <w:divBdr>
            <w:top w:val="none" w:sz="0" w:space="0" w:color="auto"/>
            <w:left w:val="none" w:sz="0" w:space="0" w:color="auto"/>
            <w:bottom w:val="none" w:sz="0" w:space="0" w:color="auto"/>
            <w:right w:val="none" w:sz="0" w:space="0" w:color="auto"/>
          </w:divBdr>
        </w:div>
        <w:div w:id="257058419">
          <w:marLeft w:val="0"/>
          <w:marRight w:val="0"/>
          <w:marTop w:val="0"/>
          <w:marBottom w:val="0"/>
          <w:divBdr>
            <w:top w:val="none" w:sz="0" w:space="0" w:color="auto"/>
            <w:left w:val="none" w:sz="0" w:space="0" w:color="auto"/>
            <w:bottom w:val="none" w:sz="0" w:space="0" w:color="auto"/>
            <w:right w:val="none" w:sz="0" w:space="0" w:color="auto"/>
          </w:divBdr>
        </w:div>
        <w:div w:id="2077045190">
          <w:marLeft w:val="0"/>
          <w:marRight w:val="0"/>
          <w:marTop w:val="0"/>
          <w:marBottom w:val="0"/>
          <w:divBdr>
            <w:top w:val="none" w:sz="0" w:space="0" w:color="auto"/>
            <w:left w:val="none" w:sz="0" w:space="0" w:color="auto"/>
            <w:bottom w:val="none" w:sz="0" w:space="0" w:color="auto"/>
            <w:right w:val="none" w:sz="0" w:space="0" w:color="auto"/>
          </w:divBdr>
        </w:div>
        <w:div w:id="276376075">
          <w:marLeft w:val="0"/>
          <w:marRight w:val="0"/>
          <w:marTop w:val="0"/>
          <w:marBottom w:val="0"/>
          <w:divBdr>
            <w:top w:val="none" w:sz="0" w:space="0" w:color="auto"/>
            <w:left w:val="none" w:sz="0" w:space="0" w:color="auto"/>
            <w:bottom w:val="none" w:sz="0" w:space="0" w:color="auto"/>
            <w:right w:val="none" w:sz="0" w:space="0" w:color="auto"/>
          </w:divBdr>
        </w:div>
        <w:div w:id="2037853205">
          <w:marLeft w:val="0"/>
          <w:marRight w:val="0"/>
          <w:marTop w:val="0"/>
          <w:marBottom w:val="0"/>
          <w:divBdr>
            <w:top w:val="none" w:sz="0" w:space="0" w:color="auto"/>
            <w:left w:val="none" w:sz="0" w:space="0" w:color="auto"/>
            <w:bottom w:val="none" w:sz="0" w:space="0" w:color="auto"/>
            <w:right w:val="none" w:sz="0" w:space="0" w:color="auto"/>
          </w:divBdr>
        </w:div>
        <w:div w:id="724566753">
          <w:marLeft w:val="0"/>
          <w:marRight w:val="0"/>
          <w:marTop w:val="0"/>
          <w:marBottom w:val="0"/>
          <w:divBdr>
            <w:top w:val="none" w:sz="0" w:space="0" w:color="auto"/>
            <w:left w:val="none" w:sz="0" w:space="0" w:color="auto"/>
            <w:bottom w:val="none" w:sz="0" w:space="0" w:color="auto"/>
            <w:right w:val="none" w:sz="0" w:space="0" w:color="auto"/>
          </w:divBdr>
        </w:div>
        <w:div w:id="208367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48053-BDC7-44D4-B5F7-526119F4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6032</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TDH</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Cregut</dc:creator>
  <cp:lastModifiedBy>Allison Noiran</cp:lastModifiedBy>
  <cp:revision>27</cp:revision>
  <dcterms:created xsi:type="dcterms:W3CDTF">2017-02-23T14:43:00Z</dcterms:created>
  <dcterms:modified xsi:type="dcterms:W3CDTF">2017-09-07T08:05:00Z</dcterms:modified>
</cp:coreProperties>
</file>