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9B6" w:rsidRDefault="00A709B6" w:rsidP="00972D7C">
      <w:pPr>
        <w:autoSpaceDE w:val="0"/>
        <w:autoSpaceDN w:val="0"/>
        <w:adjustRightInd w:val="0"/>
        <w:spacing w:before="0" w:after="0" w:line="240" w:lineRule="auto"/>
        <w:jc w:val="both"/>
        <w:rPr>
          <w:rFonts w:ascii="GillSans" w:hAnsi="GillSans" w:cs="GillSans"/>
          <w:sz w:val="20"/>
          <w:lang w:val="en-GB"/>
        </w:rPr>
      </w:pPr>
      <w:r>
        <w:rPr>
          <w:rFonts w:ascii="Arial" w:hAnsi="Arial" w:cs="Arial"/>
          <w:b/>
          <w:caps/>
          <w:color w:val="E36C0A" w:themeColor="accent6" w:themeShade="BF"/>
          <w:sz w:val="36"/>
          <w:szCs w:val="36"/>
        </w:rPr>
        <w:t>PROBLEM TREE</w:t>
      </w:r>
      <w:r w:rsidRPr="00E30DEE">
        <w:rPr>
          <w:rFonts w:ascii="Arial" w:hAnsi="Arial" w:cs="Arial"/>
          <w:b/>
          <w:bCs/>
          <w:caps/>
          <w:color w:val="E36C0A" w:themeColor="accent6" w:themeShade="BF"/>
          <w:sz w:val="36"/>
          <w:szCs w:val="36"/>
        </w:rPr>
        <w:t xml:space="preserve">   </w:t>
      </w:r>
    </w:p>
    <w:p w:rsidR="00A709B6" w:rsidRDefault="00A709B6" w:rsidP="00972D7C">
      <w:pPr>
        <w:autoSpaceDE w:val="0"/>
        <w:autoSpaceDN w:val="0"/>
        <w:adjustRightInd w:val="0"/>
        <w:spacing w:before="0" w:after="0" w:line="240" w:lineRule="auto"/>
        <w:jc w:val="both"/>
        <w:rPr>
          <w:rFonts w:ascii="GillSans" w:hAnsi="GillSans" w:cs="GillSans"/>
          <w:sz w:val="20"/>
          <w:lang w:val="en-GB"/>
        </w:rPr>
      </w:pPr>
    </w:p>
    <w:p w:rsidR="00972D7C" w:rsidRPr="00B123E8" w:rsidRDefault="00972D7C" w:rsidP="00972D7C">
      <w:pPr>
        <w:autoSpaceDE w:val="0"/>
        <w:autoSpaceDN w:val="0"/>
        <w:adjustRightInd w:val="0"/>
        <w:spacing w:before="0" w:after="0" w:line="240" w:lineRule="auto"/>
        <w:jc w:val="both"/>
        <w:rPr>
          <w:rFonts w:ascii="GillSans" w:hAnsi="GillSans" w:cs="GillSans"/>
          <w:sz w:val="20"/>
          <w:lang w:val="en-GB"/>
        </w:rPr>
      </w:pPr>
      <w:r w:rsidRPr="00B123E8">
        <w:rPr>
          <w:rFonts w:ascii="GillSans" w:hAnsi="GillSans" w:cs="GillSans"/>
          <w:sz w:val="20"/>
          <w:lang w:val="en-GB"/>
        </w:rPr>
        <w:t>This tool has been adapted from:</w:t>
      </w:r>
    </w:p>
    <w:p w:rsidR="00972D7C" w:rsidRPr="00B123E8" w:rsidRDefault="00972D7C" w:rsidP="00972D7C">
      <w:pPr>
        <w:pStyle w:val="ListParagraph"/>
        <w:numPr>
          <w:ilvl w:val="0"/>
          <w:numId w:val="11"/>
        </w:numPr>
        <w:autoSpaceDE w:val="0"/>
        <w:autoSpaceDN w:val="0"/>
        <w:adjustRightInd w:val="0"/>
        <w:spacing w:before="0" w:after="0" w:line="240" w:lineRule="auto"/>
        <w:jc w:val="both"/>
        <w:rPr>
          <w:rFonts w:ascii="GillSans" w:hAnsi="GillSans" w:cs="GillSans"/>
          <w:sz w:val="20"/>
          <w:lang w:val="en-GB"/>
        </w:rPr>
      </w:pPr>
      <w:r w:rsidRPr="00B123E8">
        <w:rPr>
          <w:rFonts w:ascii="GillSans" w:hAnsi="GillSans" w:cs="GillSans"/>
          <w:i/>
          <w:sz w:val="20"/>
          <w:lang w:val="en-GB"/>
        </w:rPr>
        <w:t>Project Cycle Handbook</w:t>
      </w:r>
      <w:r w:rsidRPr="00B123E8">
        <w:rPr>
          <w:rFonts w:ascii="GillSans" w:hAnsi="GillSans" w:cs="GillSans"/>
          <w:sz w:val="20"/>
          <w:lang w:val="en-GB"/>
        </w:rPr>
        <w:t xml:space="preserve">, </w:t>
      </w:r>
      <w:proofErr w:type="spellStart"/>
      <w:r w:rsidRPr="00B123E8">
        <w:rPr>
          <w:rFonts w:ascii="GillSans" w:hAnsi="GillSans" w:cs="GillSans"/>
          <w:sz w:val="20"/>
          <w:lang w:val="en-GB"/>
        </w:rPr>
        <w:t>Tdh</w:t>
      </w:r>
      <w:proofErr w:type="spellEnd"/>
      <w:r w:rsidRPr="00B123E8">
        <w:rPr>
          <w:rFonts w:ascii="GillSans" w:hAnsi="GillSans" w:cs="GillSans"/>
          <w:sz w:val="20"/>
          <w:lang w:val="en-GB"/>
        </w:rPr>
        <w:t>, 2012</w:t>
      </w:r>
    </w:p>
    <w:p w:rsidR="00972D7C" w:rsidRPr="00B123E8" w:rsidRDefault="00972D7C" w:rsidP="00972D7C">
      <w:pPr>
        <w:pStyle w:val="ListParagraph"/>
        <w:numPr>
          <w:ilvl w:val="0"/>
          <w:numId w:val="11"/>
        </w:numPr>
        <w:autoSpaceDE w:val="0"/>
        <w:autoSpaceDN w:val="0"/>
        <w:adjustRightInd w:val="0"/>
        <w:spacing w:before="0" w:after="0" w:line="240" w:lineRule="auto"/>
        <w:jc w:val="both"/>
        <w:rPr>
          <w:rFonts w:ascii="GillSans" w:hAnsi="GillSans" w:cs="GillSans"/>
          <w:sz w:val="20"/>
          <w:lang w:val="en-GB"/>
        </w:rPr>
      </w:pPr>
      <w:r w:rsidRPr="00B123E8">
        <w:rPr>
          <w:rFonts w:ascii="GillSans" w:hAnsi="GillSans" w:cs="GillSans"/>
          <w:i/>
          <w:sz w:val="20"/>
          <w:lang w:val="en-GB"/>
        </w:rPr>
        <w:t>Project/Programme Planning, Guidance Manual</w:t>
      </w:r>
      <w:r w:rsidRPr="00B123E8">
        <w:rPr>
          <w:rFonts w:ascii="GillSans" w:hAnsi="GillSans" w:cs="GillSans"/>
          <w:sz w:val="20"/>
          <w:lang w:val="en-GB"/>
        </w:rPr>
        <w:t>, IFRC, 2010</w:t>
      </w:r>
    </w:p>
    <w:p w:rsidR="00972D7C" w:rsidRPr="00B123E8" w:rsidRDefault="004E370F" w:rsidP="00972D7C">
      <w:pPr>
        <w:pStyle w:val="ListParagraph"/>
        <w:numPr>
          <w:ilvl w:val="0"/>
          <w:numId w:val="11"/>
        </w:numPr>
        <w:autoSpaceDE w:val="0"/>
        <w:autoSpaceDN w:val="0"/>
        <w:adjustRightInd w:val="0"/>
        <w:spacing w:before="0" w:after="0" w:line="240" w:lineRule="auto"/>
        <w:jc w:val="both"/>
        <w:rPr>
          <w:rFonts w:ascii="GillSans" w:hAnsi="GillSans" w:cs="GillSans"/>
          <w:sz w:val="20"/>
          <w:lang w:val="en-GB"/>
        </w:rPr>
      </w:pPr>
      <w:r>
        <w:rPr>
          <w:rFonts w:ascii="GillSans" w:hAnsi="GillSans" w:cs="GillSans"/>
          <w:i/>
          <w:sz w:val="20"/>
          <w:lang w:val="en-GB"/>
        </w:rPr>
        <w:t xml:space="preserve">Programme/Project </w:t>
      </w:r>
      <w:r w:rsidR="00156634">
        <w:rPr>
          <w:rFonts w:ascii="GillSans" w:hAnsi="GillSans" w:cs="GillSans"/>
          <w:i/>
          <w:sz w:val="20"/>
          <w:lang w:val="en-GB"/>
        </w:rPr>
        <w:t>Management</w:t>
      </w:r>
      <w:r>
        <w:rPr>
          <w:rFonts w:ascii="GillSans" w:hAnsi="GillSans" w:cs="GillSans"/>
          <w:sz w:val="20"/>
          <w:lang w:val="en-GB"/>
        </w:rPr>
        <w:t xml:space="preserve">: </w:t>
      </w:r>
      <w:r w:rsidRPr="004E370F">
        <w:rPr>
          <w:rFonts w:ascii="GillSans" w:hAnsi="GillSans" w:cs="GillSans"/>
          <w:i/>
          <w:sz w:val="20"/>
          <w:lang w:val="en-GB"/>
        </w:rPr>
        <w:t>The Results-based Approach</w:t>
      </w:r>
      <w:r>
        <w:rPr>
          <w:rFonts w:ascii="GillSans" w:hAnsi="GillSans" w:cs="GillSans"/>
          <w:sz w:val="20"/>
          <w:lang w:val="en-GB"/>
        </w:rPr>
        <w:t>,</w:t>
      </w:r>
      <w:r w:rsidR="00972D7C" w:rsidRPr="00B123E8">
        <w:rPr>
          <w:rFonts w:ascii="GillSans" w:hAnsi="GillSans" w:cs="GillSans"/>
          <w:sz w:val="20"/>
          <w:lang w:val="en-GB"/>
        </w:rPr>
        <w:t xml:space="preserve"> ICRC, 2008</w:t>
      </w:r>
    </w:p>
    <w:p w:rsidR="00972D7C" w:rsidRPr="00B123E8" w:rsidRDefault="00972D7C" w:rsidP="00972D7C">
      <w:pPr>
        <w:autoSpaceDE w:val="0"/>
        <w:autoSpaceDN w:val="0"/>
        <w:adjustRightInd w:val="0"/>
        <w:spacing w:before="0" w:after="0" w:line="240" w:lineRule="auto"/>
        <w:jc w:val="both"/>
        <w:rPr>
          <w:rFonts w:ascii="GillSans" w:hAnsi="GillSans" w:cs="GillSans"/>
          <w:sz w:val="20"/>
          <w:lang w:val="en-GB"/>
        </w:rPr>
      </w:pPr>
    </w:p>
    <w:p w:rsidR="00CB7660" w:rsidRDefault="00350920" w:rsidP="00012288">
      <w:pPr>
        <w:spacing w:before="0" w:after="0" w:line="240" w:lineRule="auto"/>
        <w:jc w:val="both"/>
        <w:rPr>
          <w:rFonts w:ascii="Arial" w:hAnsi="Arial" w:cs="Arial"/>
          <w:sz w:val="20"/>
          <w:lang w:val="en-GB"/>
        </w:rPr>
      </w:pPr>
      <w:r w:rsidRPr="00B123E8">
        <w:rPr>
          <w:rFonts w:ascii="Arial" w:hAnsi="Arial" w:cs="Arial"/>
          <w:sz w:val="20"/>
          <w:lang w:val="en-GB"/>
        </w:rPr>
        <w:t xml:space="preserve">The </w:t>
      </w:r>
      <w:r>
        <w:rPr>
          <w:rFonts w:ascii="Arial" w:hAnsi="Arial" w:cs="Arial"/>
          <w:sz w:val="20"/>
          <w:lang w:val="en-GB"/>
        </w:rPr>
        <w:t>problem tree – or casual relationships analysis -</w:t>
      </w:r>
      <w:r w:rsidRPr="00B123E8">
        <w:rPr>
          <w:rFonts w:ascii="Arial" w:hAnsi="Arial" w:cs="Arial"/>
          <w:sz w:val="20"/>
          <w:lang w:val="en-GB"/>
        </w:rPr>
        <w:t xml:space="preserve"> is used </w:t>
      </w:r>
      <w:r w:rsidRPr="00B123E8">
        <w:rPr>
          <w:rFonts w:ascii="Arial" w:hAnsi="Arial" w:cs="Arial"/>
          <w:i/>
          <w:color w:val="F79646" w:themeColor="accent6"/>
          <w:sz w:val="20"/>
          <w:lang w:val="en-GB"/>
        </w:rPr>
        <w:t>during the situation analysis phase</w:t>
      </w:r>
      <w:r w:rsidR="00012288">
        <w:rPr>
          <w:rFonts w:ascii="Arial" w:hAnsi="Arial" w:cs="Arial"/>
          <w:color w:val="F79646" w:themeColor="accent6"/>
          <w:sz w:val="20"/>
          <w:lang w:val="en-GB"/>
        </w:rPr>
        <w:t xml:space="preserve"> </w:t>
      </w:r>
      <w:r w:rsidRPr="00350920">
        <w:rPr>
          <w:rFonts w:ascii="Arial" w:hAnsi="Arial" w:cs="Arial"/>
          <w:sz w:val="20"/>
          <w:lang w:val="en-GB"/>
        </w:rPr>
        <w:t xml:space="preserve">to </w:t>
      </w:r>
      <w:r w:rsidR="00012288">
        <w:rPr>
          <w:rFonts w:ascii="Arial" w:hAnsi="Arial" w:cs="Arial"/>
          <w:sz w:val="20"/>
          <w:lang w:val="en-GB"/>
        </w:rPr>
        <w:t>analyse</w:t>
      </w:r>
      <w:r w:rsidRPr="00350920">
        <w:rPr>
          <w:rFonts w:ascii="Arial" w:hAnsi="Arial" w:cs="Arial"/>
          <w:sz w:val="20"/>
          <w:lang w:val="en-GB"/>
        </w:rPr>
        <w:t xml:space="preserve"> problems</w:t>
      </w:r>
      <w:r w:rsidR="00012288">
        <w:rPr>
          <w:rFonts w:ascii="Arial" w:hAnsi="Arial" w:cs="Arial"/>
          <w:sz w:val="20"/>
          <w:lang w:val="en-GB"/>
        </w:rPr>
        <w:t xml:space="preserve">. </w:t>
      </w:r>
      <w:r w:rsidR="00CB7660">
        <w:rPr>
          <w:rFonts w:ascii="Arial" w:hAnsi="Arial" w:cs="Arial"/>
          <w:sz w:val="20"/>
          <w:lang w:val="en-GB"/>
        </w:rPr>
        <w:t xml:space="preserve">It can also be used during the </w:t>
      </w:r>
      <w:r w:rsidR="00CB7660" w:rsidRPr="00DC12E6">
        <w:rPr>
          <w:rFonts w:ascii="Arial" w:hAnsi="Arial" w:cs="Arial"/>
          <w:i/>
          <w:color w:val="F79646" w:themeColor="accent6"/>
          <w:sz w:val="20"/>
          <w:lang w:val="en-GB"/>
        </w:rPr>
        <w:t>strategic planning phase</w:t>
      </w:r>
      <w:r w:rsidR="00CB7660">
        <w:rPr>
          <w:rFonts w:ascii="Arial" w:hAnsi="Arial" w:cs="Arial"/>
          <w:sz w:val="20"/>
          <w:lang w:val="en-GB"/>
        </w:rPr>
        <w:t xml:space="preserve"> at the stage of operational conclusions refinement.</w:t>
      </w:r>
    </w:p>
    <w:p w:rsidR="00DC12E6" w:rsidRDefault="00DC12E6" w:rsidP="00012288">
      <w:pPr>
        <w:spacing w:before="0" w:after="0" w:line="240" w:lineRule="auto"/>
        <w:jc w:val="both"/>
        <w:rPr>
          <w:rFonts w:ascii="Arial" w:hAnsi="Arial" w:cs="Arial"/>
          <w:sz w:val="20"/>
          <w:lang w:val="en-GB"/>
        </w:rPr>
      </w:pPr>
    </w:p>
    <w:p w:rsidR="00012288" w:rsidRDefault="00012288" w:rsidP="00012288">
      <w:pPr>
        <w:spacing w:before="0" w:after="0" w:line="240" w:lineRule="auto"/>
        <w:jc w:val="both"/>
        <w:rPr>
          <w:rFonts w:ascii="Arial" w:hAnsi="Arial" w:cs="Arial"/>
          <w:sz w:val="20"/>
          <w:lang w:val="en-GB"/>
        </w:rPr>
      </w:pPr>
      <w:r w:rsidRPr="00012288">
        <w:rPr>
          <w:rFonts w:ascii="Arial" w:hAnsi="Arial" w:cs="Arial"/>
          <w:sz w:val="20"/>
          <w:lang w:val="en-GB"/>
        </w:rPr>
        <w:t xml:space="preserve">The </w:t>
      </w:r>
      <w:r w:rsidRPr="00DC12E6">
        <w:rPr>
          <w:rFonts w:ascii="Arial" w:hAnsi="Arial" w:cs="Arial"/>
          <w:i/>
          <w:color w:val="F79646" w:themeColor="accent6"/>
          <w:sz w:val="20"/>
          <w:lang w:val="en-GB"/>
        </w:rPr>
        <w:t>aim of a problem tree</w:t>
      </w:r>
      <w:r w:rsidRPr="00012288">
        <w:rPr>
          <w:rFonts w:ascii="Arial" w:hAnsi="Arial" w:cs="Arial"/>
          <w:sz w:val="20"/>
          <w:lang w:val="en-GB"/>
        </w:rPr>
        <w:t xml:space="preserve"> is to structure, summarize and organize the findings of the situation analysis.</w:t>
      </w:r>
      <w:r w:rsidR="00DC12E6">
        <w:rPr>
          <w:rFonts w:ascii="Arial" w:hAnsi="Arial" w:cs="Arial"/>
          <w:sz w:val="20"/>
          <w:lang w:val="en-GB"/>
        </w:rPr>
        <w:t xml:space="preserve"> It contributes to the clear understanding of the situation.</w:t>
      </w:r>
      <w:r w:rsidRPr="00012288">
        <w:rPr>
          <w:rFonts w:ascii="Arial" w:hAnsi="Arial" w:cs="Arial"/>
          <w:sz w:val="20"/>
          <w:lang w:val="en-GB"/>
        </w:rPr>
        <w:t xml:space="preserve"> It involves identifying the negative aspects of an existing situation, i.e. “problems”, and establishes the “cause-effect relationships” between </w:t>
      </w:r>
      <w:r w:rsidR="005F5A43">
        <w:rPr>
          <w:rFonts w:ascii="Arial" w:hAnsi="Arial" w:cs="Arial"/>
          <w:sz w:val="20"/>
          <w:lang w:val="en-GB"/>
        </w:rPr>
        <w:t>them</w:t>
      </w:r>
      <w:r w:rsidR="003D5874">
        <w:rPr>
          <w:rFonts w:ascii="Arial" w:hAnsi="Arial" w:cs="Arial"/>
          <w:sz w:val="20"/>
          <w:lang w:val="en-GB"/>
        </w:rPr>
        <w:t xml:space="preserve">. </w:t>
      </w:r>
    </w:p>
    <w:p w:rsidR="003D5874" w:rsidRDefault="003D5874" w:rsidP="00986DF0">
      <w:pPr>
        <w:spacing w:before="0" w:after="0" w:line="240" w:lineRule="auto"/>
        <w:jc w:val="both"/>
        <w:rPr>
          <w:rFonts w:ascii="Arial" w:hAnsi="Arial" w:cs="Arial"/>
          <w:sz w:val="20"/>
          <w:lang w:val="en-GB"/>
        </w:rPr>
      </w:pPr>
    </w:p>
    <w:p w:rsidR="005D7EDC" w:rsidRPr="005D7EDC" w:rsidRDefault="00986DF0" w:rsidP="005D7EDC">
      <w:pPr>
        <w:autoSpaceDE w:val="0"/>
        <w:autoSpaceDN w:val="0"/>
        <w:adjustRightInd w:val="0"/>
        <w:spacing w:before="0" w:after="0" w:line="240" w:lineRule="auto"/>
        <w:jc w:val="both"/>
        <w:rPr>
          <w:rFonts w:ascii="GillSans" w:hAnsi="GillSans" w:cs="GillSans"/>
          <w:sz w:val="20"/>
          <w:lang w:val="en-US"/>
        </w:rPr>
      </w:pPr>
      <w:r w:rsidRPr="00986DF0">
        <w:rPr>
          <w:rFonts w:ascii="Arial" w:hAnsi="Arial" w:cs="Arial"/>
          <w:sz w:val="20"/>
          <w:lang w:val="en-GB"/>
        </w:rPr>
        <w:t>The systematic analysis of a problem is important</w:t>
      </w:r>
      <w:r>
        <w:rPr>
          <w:rFonts w:ascii="Arial" w:hAnsi="Arial" w:cs="Arial"/>
          <w:sz w:val="20"/>
          <w:lang w:val="en-GB"/>
        </w:rPr>
        <w:t xml:space="preserve">, even in emergencies and </w:t>
      </w:r>
      <w:r w:rsidR="005D7EDC">
        <w:rPr>
          <w:rFonts w:ascii="Arial" w:hAnsi="Arial" w:cs="Arial"/>
          <w:sz w:val="20"/>
          <w:lang w:val="en-GB"/>
        </w:rPr>
        <w:t>humanitarian crise</w:t>
      </w:r>
      <w:r>
        <w:rPr>
          <w:rFonts w:ascii="Arial" w:hAnsi="Arial" w:cs="Arial"/>
          <w:sz w:val="20"/>
          <w:lang w:val="en-GB"/>
        </w:rPr>
        <w:t>s</w:t>
      </w:r>
      <w:r w:rsidRPr="00986DF0">
        <w:rPr>
          <w:rFonts w:ascii="Arial" w:hAnsi="Arial" w:cs="Arial"/>
          <w:sz w:val="20"/>
          <w:lang w:val="en-GB"/>
        </w:rPr>
        <w:t xml:space="preserve">, as it </w:t>
      </w:r>
      <w:r w:rsidRPr="00DC12E6">
        <w:rPr>
          <w:rFonts w:ascii="Arial" w:hAnsi="Arial" w:cs="Arial"/>
          <w:i/>
          <w:color w:val="F79646" w:themeColor="accent6"/>
          <w:sz w:val="20"/>
          <w:lang w:val="en-GB"/>
        </w:rPr>
        <w:t xml:space="preserve">provides the basis for identifying strategies to solve the </w:t>
      </w:r>
      <w:r w:rsidR="00DC12E6" w:rsidRPr="00DC12E6">
        <w:rPr>
          <w:rFonts w:ascii="Arial" w:hAnsi="Arial" w:cs="Arial"/>
          <w:i/>
          <w:color w:val="F79646" w:themeColor="accent6"/>
          <w:sz w:val="20"/>
          <w:lang w:val="en-GB"/>
        </w:rPr>
        <w:t>problem</w:t>
      </w:r>
      <w:r w:rsidR="00DC12E6">
        <w:rPr>
          <w:rFonts w:ascii="Arial" w:hAnsi="Arial" w:cs="Arial"/>
          <w:sz w:val="20"/>
          <w:lang w:val="en-GB"/>
        </w:rPr>
        <w:t>. It</w:t>
      </w:r>
      <w:r w:rsidRPr="00986DF0">
        <w:rPr>
          <w:rFonts w:ascii="Arial" w:hAnsi="Arial" w:cs="Arial"/>
          <w:sz w:val="20"/>
          <w:lang w:val="en-GB"/>
        </w:rPr>
        <w:t xml:space="preserve"> opens discussion, encourages the active participation of the people concerned/affected, promotes transparency, and increases the acceptability and viability of the identified solutions.</w:t>
      </w:r>
      <w:r w:rsidR="00DC12E6">
        <w:rPr>
          <w:rFonts w:ascii="Arial" w:hAnsi="Arial" w:cs="Arial"/>
          <w:sz w:val="20"/>
          <w:lang w:val="en-GB"/>
        </w:rPr>
        <w:t xml:space="preserve"> </w:t>
      </w:r>
      <w:r w:rsidR="005D7EDC" w:rsidRPr="005D7EDC">
        <w:rPr>
          <w:rFonts w:ascii="GillSans" w:hAnsi="GillSans" w:cs="GillSans"/>
          <w:sz w:val="20"/>
          <w:lang w:val="en-US"/>
        </w:rPr>
        <w:t xml:space="preserve">Creating a problem tree should ideally be undertaken as a </w:t>
      </w:r>
      <w:r w:rsidR="005D7EDC" w:rsidRPr="005D7EDC">
        <w:rPr>
          <w:rFonts w:ascii="Arial" w:hAnsi="Arial" w:cs="Arial"/>
          <w:i/>
          <w:color w:val="F79646" w:themeColor="accent6"/>
          <w:sz w:val="20"/>
          <w:lang w:val="en-GB"/>
        </w:rPr>
        <w:t>participatory group exercise</w:t>
      </w:r>
      <w:r w:rsidR="005D7EDC">
        <w:rPr>
          <w:rFonts w:ascii="GillSans" w:hAnsi="GillSans" w:cs="GillSans"/>
          <w:sz w:val="20"/>
          <w:lang w:val="en-US"/>
        </w:rPr>
        <w:t xml:space="preserve">. This might not be possible during the first stage of emergencies and humanitarian crises. However, as the situation stabilizes, you must engage in such exercise systematically. </w:t>
      </w:r>
    </w:p>
    <w:p w:rsidR="00986DF0" w:rsidRPr="00986DF0" w:rsidRDefault="00986DF0" w:rsidP="00012288">
      <w:pPr>
        <w:spacing w:before="0" w:after="0" w:line="240" w:lineRule="auto"/>
        <w:jc w:val="both"/>
        <w:rPr>
          <w:rFonts w:ascii="Arial" w:hAnsi="Arial" w:cs="Arial"/>
          <w:sz w:val="20"/>
          <w:lang w:val="en-US"/>
        </w:rPr>
      </w:pPr>
    </w:p>
    <w:p w:rsidR="006B1266" w:rsidRDefault="006B1266" w:rsidP="006B1266">
      <w:pPr>
        <w:autoSpaceDE w:val="0"/>
        <w:autoSpaceDN w:val="0"/>
        <w:adjustRightInd w:val="0"/>
        <w:spacing w:before="0" w:after="0" w:line="240" w:lineRule="auto"/>
        <w:jc w:val="both"/>
        <w:rPr>
          <w:rFonts w:ascii="GillSans" w:hAnsi="GillSans" w:cs="GillSans"/>
          <w:sz w:val="20"/>
          <w:lang w:val="en-US"/>
        </w:rPr>
      </w:pPr>
      <w:r w:rsidRPr="006B1266">
        <w:rPr>
          <w:rFonts w:ascii="GillSans" w:hAnsi="GillSans" w:cs="GillSans"/>
          <w:sz w:val="20"/>
          <w:lang w:val="en-US"/>
        </w:rPr>
        <w:t xml:space="preserve">As the name suggests, the problem tree is </w:t>
      </w:r>
      <w:r w:rsidRPr="005D7EDC">
        <w:rPr>
          <w:rFonts w:ascii="Arial" w:hAnsi="Arial" w:cs="Arial"/>
          <w:i/>
          <w:color w:val="F79646" w:themeColor="accent6"/>
          <w:sz w:val="20"/>
          <w:lang w:val="en-GB"/>
        </w:rPr>
        <w:t xml:space="preserve">visually represented as a “tree”. </w:t>
      </w:r>
      <w:r w:rsidRPr="006B1266">
        <w:rPr>
          <w:rFonts w:ascii="GillSans" w:hAnsi="GillSans" w:cs="GillSans"/>
          <w:sz w:val="20"/>
          <w:lang w:val="en-US"/>
        </w:rPr>
        <w:t>It includes the main or core problem (the trunk), the causes of the problem (the roots) and the effects of the problem (the branches).</w:t>
      </w:r>
    </w:p>
    <w:p w:rsidR="00350920" w:rsidRDefault="00350920" w:rsidP="00611933">
      <w:pPr>
        <w:autoSpaceDE w:val="0"/>
        <w:autoSpaceDN w:val="0"/>
        <w:adjustRightInd w:val="0"/>
        <w:spacing w:before="0" w:after="0" w:line="240" w:lineRule="auto"/>
        <w:rPr>
          <w:rFonts w:ascii="GillSans" w:hAnsi="GillSans" w:cs="GillSans"/>
          <w:sz w:val="20"/>
          <w:lang w:val="en-US"/>
        </w:rPr>
      </w:pPr>
    </w:p>
    <w:p w:rsidR="00350920" w:rsidRPr="00DC12E6" w:rsidRDefault="00350920" w:rsidP="00DC12E6">
      <w:pPr>
        <w:spacing w:before="0" w:after="0" w:line="240" w:lineRule="auto"/>
        <w:jc w:val="both"/>
        <w:rPr>
          <w:rFonts w:ascii="Arial" w:hAnsi="Arial" w:cs="Arial"/>
          <w:i/>
          <w:color w:val="F79646" w:themeColor="accent6"/>
          <w:sz w:val="20"/>
          <w:lang w:val="en-GB"/>
        </w:rPr>
      </w:pPr>
      <w:r w:rsidRPr="00DC12E6">
        <w:rPr>
          <w:rFonts w:ascii="Arial" w:hAnsi="Arial" w:cs="Arial"/>
          <w:i/>
          <w:color w:val="F79646" w:themeColor="accent6"/>
          <w:sz w:val="20"/>
          <w:lang w:val="en-GB"/>
        </w:rPr>
        <w:t xml:space="preserve">Tips </w:t>
      </w:r>
      <w:r w:rsidR="00755C09">
        <w:rPr>
          <w:rFonts w:ascii="Arial" w:hAnsi="Arial" w:cs="Arial"/>
          <w:i/>
          <w:color w:val="F79646" w:themeColor="accent6"/>
          <w:sz w:val="20"/>
          <w:lang w:val="en-GB"/>
        </w:rPr>
        <w:t>for designing</w:t>
      </w:r>
      <w:r w:rsidRPr="00DC12E6">
        <w:rPr>
          <w:rFonts w:ascii="Arial" w:hAnsi="Arial" w:cs="Arial"/>
          <w:i/>
          <w:color w:val="F79646" w:themeColor="accent6"/>
          <w:sz w:val="20"/>
          <w:lang w:val="en-GB"/>
        </w:rPr>
        <w:t xml:space="preserve"> problem tree:</w:t>
      </w:r>
    </w:p>
    <w:p w:rsidR="00611933" w:rsidRPr="005D7EDC" w:rsidRDefault="00611933"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5D7EDC">
        <w:rPr>
          <w:rFonts w:ascii="GillSans" w:hAnsi="GillSans" w:cs="GillSans"/>
          <w:sz w:val="20"/>
          <w:lang w:val="en-US"/>
        </w:rPr>
        <w:t>Define the nature and scope of the issue at stake (the main problem)</w:t>
      </w:r>
      <w:r w:rsidR="006B1266" w:rsidRPr="005D7EDC">
        <w:rPr>
          <w:rFonts w:ascii="GillSans" w:hAnsi="GillSans" w:cs="GillSans"/>
          <w:sz w:val="20"/>
          <w:lang w:val="en-US"/>
        </w:rPr>
        <w:t>. If the exercise is done in group, brainstorm problems that participants consider to be priorit</w:t>
      </w:r>
      <w:r w:rsidR="005D7EDC">
        <w:rPr>
          <w:rFonts w:ascii="GillSans" w:hAnsi="GillSans" w:cs="GillSans"/>
          <w:sz w:val="20"/>
          <w:lang w:val="en-US"/>
        </w:rPr>
        <w:t>ies;</w:t>
      </w:r>
    </w:p>
    <w:p w:rsidR="00611933" w:rsidRDefault="00611933"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350920">
        <w:rPr>
          <w:rFonts w:ascii="GillSans" w:hAnsi="GillSans" w:cs="GillSans"/>
          <w:sz w:val="20"/>
          <w:lang w:val="en-US"/>
        </w:rPr>
        <w:t>Identify the problems encountered by the beneficiaries or the target group related to this main prob</w:t>
      </w:r>
      <w:r w:rsidR="00867D7B">
        <w:rPr>
          <w:rFonts w:ascii="GillSans" w:hAnsi="GillSans" w:cs="GillSans"/>
          <w:sz w:val="20"/>
          <w:lang w:val="en-US"/>
        </w:rPr>
        <w:t>lem: What is/are the problem(s)</w:t>
      </w:r>
      <w:r w:rsidRPr="00350920">
        <w:rPr>
          <w:rFonts w:ascii="GillSans" w:hAnsi="GillSans" w:cs="GillSans"/>
          <w:sz w:val="20"/>
          <w:lang w:val="en-US"/>
        </w:rPr>
        <w:t>? Who is affected by it/them?</w:t>
      </w:r>
    </w:p>
    <w:p w:rsidR="006B1266" w:rsidRDefault="006B1266"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In case you have several main problems, try to focus on one at</w:t>
      </w:r>
      <w:r w:rsidR="005D7EDC">
        <w:rPr>
          <w:rFonts w:ascii="GillSans" w:hAnsi="GillSans" w:cs="GillSans"/>
          <w:sz w:val="20"/>
          <w:lang w:val="en-US"/>
        </w:rPr>
        <w:t xml:space="preserve"> a time;</w:t>
      </w:r>
    </w:p>
    <w:p w:rsidR="00DC18A1" w:rsidRDefault="00DC18A1"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Pr>
          <w:rFonts w:ascii="GillSans" w:hAnsi="GillSans" w:cs="GillSans"/>
          <w:sz w:val="20"/>
          <w:lang w:val="en-US"/>
        </w:rPr>
        <w:t>When identifying the problems to discuss, try to avoid pitfalls consisting in selecting “root causes” problems which are too big or impossible to tackle during emergencies and humanitarian crisis (e.g. poverty).</w:t>
      </w:r>
      <w:bookmarkStart w:id="0" w:name="_GoBack"/>
      <w:bookmarkEnd w:id="0"/>
    </w:p>
    <w:p w:rsidR="00867D7B" w:rsidRPr="005D7EDC" w:rsidRDefault="00867D7B" w:rsidP="005D7EDC">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867D7B">
        <w:rPr>
          <w:rFonts w:ascii="GillSans" w:hAnsi="GillSans" w:cs="GillSans"/>
          <w:sz w:val="20"/>
          <w:lang w:val="en-US"/>
        </w:rPr>
        <w:t>Establish a hierarchy of causes and effects</w:t>
      </w:r>
      <w:r w:rsidR="005D7EDC">
        <w:rPr>
          <w:rFonts w:ascii="GillSans" w:hAnsi="GillSans" w:cs="GillSans"/>
          <w:sz w:val="20"/>
          <w:lang w:val="en-US"/>
        </w:rPr>
        <w:t xml:space="preserve">: </w:t>
      </w:r>
      <w:r w:rsidRPr="00867D7B">
        <w:rPr>
          <w:rFonts w:ascii="GillSans" w:hAnsi="GillSans" w:cs="GillSans"/>
          <w:sz w:val="20"/>
          <w:lang w:val="en-US"/>
        </w:rPr>
        <w:t>keep asking “why?” and “what happens then” until you can go no further</w:t>
      </w:r>
      <w:r w:rsidR="005D7EDC">
        <w:rPr>
          <w:rFonts w:ascii="GillSans" w:hAnsi="GillSans" w:cs="GillSans"/>
          <w:sz w:val="20"/>
          <w:lang w:val="en-US"/>
        </w:rPr>
        <w:t>;</w:t>
      </w:r>
    </w:p>
    <w:p w:rsidR="00AC7695" w:rsidRPr="00350920" w:rsidRDefault="00611933"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350920">
        <w:rPr>
          <w:rFonts w:ascii="GillSans" w:hAnsi="GillSans" w:cs="GillSans"/>
          <w:sz w:val="20"/>
          <w:lang w:val="en-US"/>
        </w:rPr>
        <w:t>Display the problems in the form of a diagram in order to ease analysis and clarification of the</w:t>
      </w:r>
      <w:r w:rsidR="005D7EDC">
        <w:rPr>
          <w:rFonts w:ascii="GillSans" w:hAnsi="GillSans" w:cs="GillSans"/>
          <w:sz w:val="20"/>
          <w:lang w:val="en-US"/>
        </w:rPr>
        <w:t xml:space="preserve"> cause and effect relationships;</w:t>
      </w:r>
    </w:p>
    <w:p w:rsidR="00867D7B" w:rsidRPr="00867D7B" w:rsidRDefault="00350920" w:rsidP="00867D7B">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350920">
        <w:rPr>
          <w:rFonts w:ascii="GillSans" w:hAnsi="GillSans" w:cs="GillSans"/>
          <w:sz w:val="20"/>
          <w:lang w:val="en-US"/>
        </w:rPr>
        <w:t xml:space="preserve">The more stakeholders you involve in preparing the </w:t>
      </w:r>
      <w:r>
        <w:rPr>
          <w:rFonts w:ascii="GillSans" w:hAnsi="GillSans" w:cs="GillSans"/>
          <w:sz w:val="20"/>
          <w:lang w:val="en-US"/>
        </w:rPr>
        <w:t>problem tree</w:t>
      </w:r>
      <w:r w:rsidRPr="00350920">
        <w:rPr>
          <w:rFonts w:ascii="GillSans" w:hAnsi="GillSans" w:cs="GillSans"/>
          <w:sz w:val="20"/>
          <w:lang w:val="en-US"/>
        </w:rPr>
        <w:t>, the more valuable your analysis will be</w:t>
      </w:r>
      <w:r w:rsidR="00012288">
        <w:rPr>
          <w:rFonts w:ascii="GillSans" w:hAnsi="GillSans" w:cs="GillSans"/>
          <w:sz w:val="20"/>
          <w:lang w:val="en-US"/>
        </w:rPr>
        <w:t xml:space="preserve"> </w:t>
      </w:r>
      <w:r w:rsidR="00012288" w:rsidRPr="00012288">
        <w:rPr>
          <w:rFonts w:ascii="GillSans" w:hAnsi="GillSans" w:cs="GillSans"/>
          <w:sz w:val="20"/>
          <w:lang w:val="en-US"/>
        </w:rPr>
        <w:t>- it helps ensure that the views and perspectives of different stakeholder groups are adequately represented and understood.</w:t>
      </w:r>
      <w:r w:rsidR="00867D7B" w:rsidRPr="00867D7B">
        <w:rPr>
          <w:rFonts w:ascii="GillSans" w:hAnsi="GillSans" w:cs="GillSans"/>
          <w:sz w:val="20"/>
          <w:lang w:val="en-US"/>
        </w:rPr>
        <w:t xml:space="preserve"> </w:t>
      </w:r>
    </w:p>
    <w:p w:rsidR="00611933" w:rsidRPr="001043D4" w:rsidRDefault="00611933" w:rsidP="00611933">
      <w:pPr>
        <w:pStyle w:val="ListParagraph"/>
        <w:numPr>
          <w:ilvl w:val="0"/>
          <w:numId w:val="13"/>
        </w:numPr>
        <w:autoSpaceDE w:val="0"/>
        <w:autoSpaceDN w:val="0"/>
        <w:adjustRightInd w:val="0"/>
        <w:spacing w:before="0" w:after="0" w:line="240" w:lineRule="auto"/>
        <w:jc w:val="both"/>
        <w:rPr>
          <w:rFonts w:ascii="GillSans" w:hAnsi="GillSans" w:cs="GillSans"/>
          <w:sz w:val="20"/>
          <w:lang w:val="en-US"/>
        </w:rPr>
      </w:pPr>
      <w:r w:rsidRPr="001043D4">
        <w:rPr>
          <w:rFonts w:ascii="GillSans" w:hAnsi="GillSans" w:cs="GillSans"/>
          <w:sz w:val="20"/>
          <w:lang w:val="en-US"/>
        </w:rPr>
        <w:t>If necessary, the different a</w:t>
      </w:r>
      <w:r w:rsidR="00867D7B" w:rsidRPr="001043D4">
        <w:rPr>
          <w:rFonts w:ascii="GillSans" w:hAnsi="GillSans" w:cs="GillSans"/>
          <w:sz w:val="20"/>
          <w:lang w:val="en-US"/>
        </w:rPr>
        <w:t xml:space="preserve">spects of a problem area can be </w:t>
      </w:r>
      <w:r w:rsidRPr="001043D4">
        <w:rPr>
          <w:rFonts w:ascii="GillSans" w:hAnsi="GillSans" w:cs="GillSans"/>
          <w:sz w:val="20"/>
          <w:lang w:val="en-US"/>
        </w:rPr>
        <w:t>further elaborated through focus groups or interviews.</w:t>
      </w:r>
    </w:p>
    <w:p w:rsidR="00DC12E6" w:rsidRPr="00E30DEE" w:rsidRDefault="00DC12E6" w:rsidP="00E30DEE">
      <w:pPr>
        <w:spacing w:before="0" w:after="0" w:line="240" w:lineRule="auto"/>
        <w:jc w:val="both"/>
        <w:rPr>
          <w:rFonts w:ascii="Arial" w:hAnsi="Arial" w:cs="Arial"/>
          <w:sz w:val="20"/>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BC7D8C" w:rsidRDefault="00BC7D8C" w:rsidP="00E30DEE">
      <w:pPr>
        <w:spacing w:before="0" w:after="0" w:line="240" w:lineRule="auto"/>
        <w:jc w:val="both"/>
        <w:rPr>
          <w:rFonts w:ascii="Arial" w:hAnsi="Arial" w:cs="Arial"/>
          <w:i/>
          <w:color w:val="F79646" w:themeColor="accent6"/>
          <w:sz w:val="20"/>
          <w:lang w:val="en-GB"/>
        </w:rPr>
      </w:pPr>
    </w:p>
    <w:p w:rsidR="001100A4" w:rsidRDefault="005D7EDC" w:rsidP="00E30DEE">
      <w:pPr>
        <w:spacing w:before="0" w:after="0" w:line="240" w:lineRule="auto"/>
        <w:jc w:val="both"/>
        <w:rPr>
          <w:rFonts w:ascii="Arial" w:hAnsi="Arial" w:cs="Arial"/>
          <w:i/>
          <w:color w:val="F79646" w:themeColor="accent6"/>
          <w:sz w:val="20"/>
          <w:lang w:val="en-GB"/>
        </w:rPr>
      </w:pPr>
      <w:r w:rsidRPr="001100A4">
        <w:rPr>
          <w:rFonts w:ascii="Arial" w:hAnsi="Arial" w:cs="Arial"/>
          <w:i/>
          <w:color w:val="F79646" w:themeColor="accent6"/>
          <w:sz w:val="20"/>
          <w:lang w:val="en-GB"/>
        </w:rPr>
        <w:t>Examples</w:t>
      </w:r>
      <w:r w:rsidR="001100A4" w:rsidRPr="001100A4">
        <w:rPr>
          <w:rFonts w:ascii="Arial" w:hAnsi="Arial" w:cs="Arial"/>
          <w:i/>
          <w:color w:val="F79646" w:themeColor="accent6"/>
          <w:sz w:val="20"/>
          <w:lang w:val="en-GB"/>
        </w:rPr>
        <w:t xml:space="preserve"> of </w:t>
      </w:r>
      <w:r w:rsidR="00AC7695">
        <w:rPr>
          <w:rFonts w:ascii="Arial" w:hAnsi="Arial" w:cs="Arial"/>
          <w:i/>
          <w:color w:val="F79646" w:themeColor="accent6"/>
          <w:sz w:val="20"/>
          <w:lang w:val="en-GB"/>
        </w:rPr>
        <w:t>problem tree</w:t>
      </w:r>
    </w:p>
    <w:p w:rsidR="00BC7D8C" w:rsidRDefault="00BC7D8C" w:rsidP="00E30DEE">
      <w:pPr>
        <w:spacing w:before="0" w:after="0" w:line="240" w:lineRule="auto"/>
        <w:jc w:val="both"/>
        <w:rPr>
          <w:rFonts w:ascii="Arial" w:hAnsi="Arial" w:cs="Arial"/>
          <w:i/>
          <w:color w:val="F79646" w:themeColor="accent6"/>
          <w:sz w:val="20"/>
          <w:lang w:val="en-GB"/>
        </w:rPr>
      </w:pPr>
    </w:p>
    <w:p w:rsidR="00BC7D8C" w:rsidRPr="00BC7D8C" w:rsidRDefault="00BC7D8C" w:rsidP="00BC7D8C">
      <w:pPr>
        <w:pStyle w:val="ListParagraph"/>
        <w:numPr>
          <w:ilvl w:val="0"/>
          <w:numId w:val="15"/>
        </w:numPr>
        <w:spacing w:before="0" w:after="0" w:line="240" w:lineRule="auto"/>
        <w:jc w:val="both"/>
        <w:rPr>
          <w:rFonts w:ascii="Arial" w:hAnsi="Arial" w:cs="Arial"/>
          <w:sz w:val="20"/>
        </w:rPr>
      </w:pPr>
      <w:r w:rsidRPr="00BC7D8C">
        <w:rPr>
          <w:rFonts w:ascii="Arial" w:hAnsi="Arial" w:cs="Arial"/>
          <w:sz w:val="20"/>
        </w:rPr>
        <w:t>Simplified example of a problem tree related to a water/hygiene/sanitation issue</w:t>
      </w:r>
    </w:p>
    <w:p w:rsidR="00BC7D8C" w:rsidRDefault="00BC7D8C" w:rsidP="00E30DEE">
      <w:pPr>
        <w:spacing w:before="0" w:after="0" w:line="240" w:lineRule="auto"/>
        <w:jc w:val="both"/>
        <w:rPr>
          <w:rFonts w:ascii="Arial" w:hAnsi="Arial" w:cs="Arial"/>
          <w:sz w:val="20"/>
        </w:rPr>
      </w:pPr>
    </w:p>
    <w:p w:rsidR="00C509B9" w:rsidRDefault="00BC7D8C" w:rsidP="00BC7D8C">
      <w:pPr>
        <w:spacing w:before="0" w:after="0" w:line="240" w:lineRule="auto"/>
        <w:jc w:val="center"/>
        <w:rPr>
          <w:rFonts w:ascii="Arial" w:hAnsi="Arial" w:cs="Arial"/>
          <w:sz w:val="20"/>
        </w:rPr>
      </w:pPr>
      <w:r>
        <w:rPr>
          <w:rFonts w:ascii="Arial" w:hAnsi="Arial" w:cs="Arial"/>
          <w:noProof/>
          <w:sz w:val="20"/>
          <w:lang w:val="fr-CH" w:eastAsia="fr-CH"/>
        </w:rPr>
        <w:drawing>
          <wp:inline distT="0" distB="0" distL="0" distR="0">
            <wp:extent cx="4943475" cy="3146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72" cy="3157945"/>
                    </a:xfrm>
                    <a:prstGeom prst="rect">
                      <a:avLst/>
                    </a:prstGeom>
                    <a:noFill/>
                    <a:ln>
                      <a:noFill/>
                    </a:ln>
                  </pic:spPr>
                </pic:pic>
              </a:graphicData>
            </a:graphic>
          </wp:inline>
        </w:drawing>
      </w:r>
    </w:p>
    <w:p w:rsidR="00BC7D8C" w:rsidRDefault="00BC7D8C" w:rsidP="00E30DEE">
      <w:pPr>
        <w:spacing w:before="0" w:after="0" w:line="240" w:lineRule="auto"/>
        <w:jc w:val="both"/>
        <w:rPr>
          <w:rFonts w:ascii="Arial" w:hAnsi="Arial" w:cs="Arial"/>
          <w:sz w:val="20"/>
        </w:rPr>
      </w:pPr>
    </w:p>
    <w:p w:rsidR="00BC7D8C" w:rsidRPr="00BC7D8C" w:rsidRDefault="00BC7D8C" w:rsidP="00BC7D8C">
      <w:pPr>
        <w:pStyle w:val="ListParagraph"/>
        <w:numPr>
          <w:ilvl w:val="0"/>
          <w:numId w:val="16"/>
        </w:numPr>
        <w:spacing w:before="0" w:after="0" w:line="240" w:lineRule="auto"/>
        <w:jc w:val="both"/>
        <w:rPr>
          <w:rFonts w:ascii="Arial" w:hAnsi="Arial" w:cs="Arial"/>
          <w:sz w:val="20"/>
        </w:rPr>
      </w:pPr>
      <w:r w:rsidRPr="00BC7D8C">
        <w:rPr>
          <w:rFonts w:ascii="Arial" w:hAnsi="Arial" w:cs="Arial"/>
          <w:sz w:val="20"/>
        </w:rPr>
        <w:t>Example of a problem tree focused on community development</w:t>
      </w:r>
    </w:p>
    <w:p w:rsidR="00BC7D8C" w:rsidRDefault="00BC7D8C" w:rsidP="00E30DEE">
      <w:pPr>
        <w:spacing w:before="0" w:after="0" w:line="240" w:lineRule="auto"/>
        <w:jc w:val="both"/>
        <w:rPr>
          <w:rFonts w:ascii="Arial" w:hAnsi="Arial" w:cs="Arial"/>
          <w:sz w:val="20"/>
        </w:rPr>
      </w:pPr>
    </w:p>
    <w:p w:rsidR="00BC7D8C" w:rsidRDefault="008758EA" w:rsidP="0049198A">
      <w:pPr>
        <w:spacing w:before="0" w:after="0" w:line="240" w:lineRule="auto"/>
        <w:jc w:val="center"/>
        <w:rPr>
          <w:rFonts w:ascii="Arial" w:hAnsi="Arial" w:cs="Arial"/>
          <w:sz w:val="20"/>
        </w:rPr>
      </w:pPr>
      <w:r>
        <w:rPr>
          <w:rFonts w:ascii="Arial" w:hAnsi="Arial" w:cs="Arial"/>
          <w:noProof/>
          <w:sz w:val="20"/>
          <w:lang w:val="fr-CH" w:eastAsia="fr-CH"/>
        </w:rPr>
        <w:drawing>
          <wp:inline distT="0" distB="0" distL="0" distR="0" wp14:anchorId="40EFDBBE" wp14:editId="4CCDD739">
            <wp:extent cx="5000625" cy="4061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4510" cy="4073248"/>
                    </a:xfrm>
                    <a:prstGeom prst="rect">
                      <a:avLst/>
                    </a:prstGeom>
                    <a:noFill/>
                    <a:ln>
                      <a:noFill/>
                    </a:ln>
                  </pic:spPr>
                </pic:pic>
              </a:graphicData>
            </a:graphic>
          </wp:inline>
        </w:drawing>
      </w:r>
    </w:p>
    <w:p w:rsidR="00964E32" w:rsidRDefault="00964E32" w:rsidP="00E30DEE">
      <w:pPr>
        <w:spacing w:before="0" w:after="0" w:line="240" w:lineRule="auto"/>
        <w:jc w:val="both"/>
        <w:rPr>
          <w:rFonts w:ascii="Arial" w:hAnsi="Arial" w:cs="Arial"/>
          <w:b/>
          <w:i/>
          <w:color w:val="F79646" w:themeColor="accent6"/>
          <w:sz w:val="20"/>
        </w:rPr>
      </w:pPr>
      <w:r w:rsidRPr="00964E32">
        <w:rPr>
          <w:rFonts w:ascii="Arial" w:hAnsi="Arial" w:cs="Arial"/>
          <w:b/>
          <w:i/>
          <w:color w:val="F79646" w:themeColor="accent6"/>
          <w:sz w:val="20"/>
        </w:rPr>
        <w:t>SWOT ANALYSIS MATRIX TEMPLATE</w:t>
      </w:r>
    </w:p>
    <w:p w:rsidR="00964E32" w:rsidRDefault="00964E32" w:rsidP="00E30DEE">
      <w:pPr>
        <w:spacing w:before="0" w:after="0" w:line="240" w:lineRule="auto"/>
        <w:jc w:val="both"/>
        <w:rPr>
          <w:rFonts w:ascii="Arial" w:hAnsi="Arial" w:cs="Arial"/>
          <w:b/>
          <w:i/>
          <w:color w:val="F79646" w:themeColor="accent6"/>
          <w:sz w:val="20"/>
        </w:rPr>
      </w:pPr>
    </w:p>
    <w:p w:rsidR="00964E32" w:rsidRPr="00964E32" w:rsidRDefault="00A57B68" w:rsidP="00E30DEE">
      <w:pPr>
        <w:spacing w:before="0" w:after="0" w:line="240" w:lineRule="auto"/>
        <w:jc w:val="both"/>
        <w:rPr>
          <w:rFonts w:ascii="Arial" w:hAnsi="Arial" w:cs="Arial"/>
          <w:b/>
          <w:i/>
          <w:color w:val="F79646" w:themeColor="accent6"/>
          <w:sz w:val="20"/>
        </w:rPr>
      </w:pPr>
      <w:r>
        <w:rPr>
          <w:rFonts w:ascii="Arial" w:hAnsi="Arial" w:cs="Arial"/>
          <w:b/>
          <w:i/>
          <w:noProof/>
          <w:color w:val="F79646" w:themeColor="accent6"/>
          <w:sz w:val="20"/>
          <w:lang w:val="fr-CH" w:eastAsia="fr-CH"/>
        </w:rPr>
        <w:lastRenderedPageBreak/>
        <w:drawing>
          <wp:inline distT="0" distB="0" distL="0" distR="0">
            <wp:extent cx="5724525" cy="475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752975"/>
                    </a:xfrm>
                    <a:prstGeom prst="rect">
                      <a:avLst/>
                    </a:prstGeom>
                    <a:noFill/>
                    <a:ln>
                      <a:noFill/>
                    </a:ln>
                  </pic:spPr>
                </pic:pic>
              </a:graphicData>
            </a:graphic>
          </wp:inline>
        </w:drawing>
      </w:r>
    </w:p>
    <w:sectPr w:rsidR="00964E32" w:rsidRPr="00964E32" w:rsidSect="00611933">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A8A" w:rsidRDefault="00736A8A" w:rsidP="002E2048">
      <w:pPr>
        <w:spacing w:before="0" w:after="0" w:line="240" w:lineRule="auto"/>
      </w:pPr>
      <w:r>
        <w:separator/>
      </w:r>
    </w:p>
  </w:endnote>
  <w:endnote w:type="continuationSeparator" w:id="0">
    <w:p w:rsidR="00736A8A" w:rsidRDefault="00736A8A"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828945"/>
      <w:docPartObj>
        <w:docPartGallery w:val="Page Numbers (Bottom of Page)"/>
        <w:docPartUnique/>
      </w:docPartObj>
    </w:sdtPr>
    <w:sdtEndPr>
      <w:rPr>
        <w:rFonts w:ascii="Arial" w:hAnsi="Arial" w:cs="Arial"/>
        <w:noProof/>
        <w:sz w:val="16"/>
        <w:szCs w:val="16"/>
      </w:rPr>
    </w:sdtEndPr>
    <w:sdtContent>
      <w:p w:rsidR="00964E32" w:rsidRPr="00964E32" w:rsidRDefault="00964E32">
        <w:pPr>
          <w:pStyle w:val="Footer"/>
          <w:jc w:val="right"/>
          <w:rPr>
            <w:rFonts w:ascii="Arial" w:hAnsi="Arial" w:cs="Arial"/>
            <w:sz w:val="16"/>
            <w:szCs w:val="16"/>
          </w:rPr>
        </w:pPr>
        <w:r w:rsidRPr="00964E32">
          <w:rPr>
            <w:rFonts w:ascii="Arial" w:hAnsi="Arial" w:cs="Arial"/>
            <w:sz w:val="16"/>
            <w:szCs w:val="16"/>
          </w:rPr>
          <w:fldChar w:fldCharType="begin"/>
        </w:r>
        <w:r w:rsidRPr="00964E32">
          <w:rPr>
            <w:rFonts w:ascii="Arial" w:hAnsi="Arial" w:cs="Arial"/>
            <w:sz w:val="16"/>
            <w:szCs w:val="16"/>
          </w:rPr>
          <w:instrText xml:space="preserve"> PAGE   \* MERGEFORMAT </w:instrText>
        </w:r>
        <w:r w:rsidRPr="00964E32">
          <w:rPr>
            <w:rFonts w:ascii="Arial" w:hAnsi="Arial" w:cs="Arial"/>
            <w:sz w:val="16"/>
            <w:szCs w:val="16"/>
          </w:rPr>
          <w:fldChar w:fldCharType="separate"/>
        </w:r>
        <w:r w:rsidR="00DC18A1">
          <w:rPr>
            <w:rFonts w:ascii="Arial" w:hAnsi="Arial" w:cs="Arial"/>
            <w:noProof/>
            <w:sz w:val="16"/>
            <w:szCs w:val="16"/>
          </w:rPr>
          <w:t>1</w:t>
        </w:r>
        <w:r w:rsidRPr="00964E32">
          <w:rPr>
            <w:rFonts w:ascii="Arial" w:hAnsi="Arial" w:cs="Arial"/>
            <w:noProof/>
            <w:sz w:val="16"/>
            <w:szCs w:val="16"/>
          </w:rPr>
          <w:fldChar w:fldCharType="end"/>
        </w:r>
      </w:p>
    </w:sdtContent>
  </w:sdt>
  <w:p w:rsidR="004C4606" w:rsidRPr="00E30DEE" w:rsidRDefault="004C4606" w:rsidP="0024698A">
    <w:pPr>
      <w:tabs>
        <w:tab w:val="right" w:pos="13892"/>
      </w:tabs>
      <w:spacing w:before="0" w:after="0" w:line="240" w:lineRule="auto"/>
      <w:rPr>
        <w:rFonts w:cs="Arial"/>
        <w:b/>
        <w:bCs/>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A8A" w:rsidRDefault="00736A8A" w:rsidP="002E2048">
      <w:pPr>
        <w:spacing w:before="0" w:after="0" w:line="240" w:lineRule="auto"/>
      </w:pPr>
      <w:r>
        <w:separator/>
      </w:r>
    </w:p>
  </w:footnote>
  <w:footnote w:type="continuationSeparator" w:id="0">
    <w:p w:rsidR="00736A8A" w:rsidRDefault="00736A8A" w:rsidP="002E20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606" w:rsidRPr="00A709B6" w:rsidRDefault="00611933" w:rsidP="00A709B6">
    <w:pPr>
      <w:pStyle w:val="Header"/>
      <w:rPr>
        <w:rFonts w:ascii="Arial" w:hAnsi="Arial" w:cs="Arial"/>
        <w:sz w:val="24"/>
        <w:szCs w:val="24"/>
      </w:rPr>
    </w:pPr>
    <w:r>
      <w:rPr>
        <w:rFonts w:ascii="Arial" w:hAnsi="Arial" w:cs="Arial"/>
        <w:b/>
        <w:noProof/>
        <w:sz w:val="20"/>
        <w:lang w:val="fr-CH" w:eastAsia="fr-CH"/>
      </w:rPr>
      <mc:AlternateContent>
        <mc:Choice Requires="wps">
          <w:drawing>
            <wp:anchor distT="0" distB="0" distL="114300" distR="114300" simplePos="0" relativeHeight="251659264" behindDoc="0" locked="0" layoutInCell="1" allowOverlap="1" wp14:anchorId="15550981" wp14:editId="7A5A5E1F">
              <wp:simplePos x="0" y="0"/>
              <wp:positionH relativeFrom="column">
                <wp:posOffset>4495801</wp:posOffset>
              </wp:positionH>
              <wp:positionV relativeFrom="paragraph">
                <wp:posOffset>-97790</wp:posOffset>
              </wp:positionV>
              <wp:extent cx="18859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59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933" w:rsidRDefault="00611933">
                          <w:r>
                            <w:rPr>
                              <w:noProof/>
                              <w:lang w:val="fr-CH" w:eastAsia="fr-CH"/>
                            </w:rPr>
                            <w:drawing>
                              <wp:inline distT="0" distB="0" distL="0" distR="0" wp14:anchorId="2726E58B" wp14:editId="1A40D5AC">
                                <wp:extent cx="1630045" cy="2838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1">
                                          <a:extLst>
                                            <a:ext uri="{28A0092B-C50C-407E-A947-70E740481C1C}">
                                              <a14:useLocalDpi xmlns:a14="http://schemas.microsoft.com/office/drawing/2010/main" val="0"/>
                                            </a:ext>
                                          </a:extLst>
                                        </a:blip>
                                        <a:stretch>
                                          <a:fillRect/>
                                        </a:stretch>
                                      </pic:blipFill>
                                      <pic:spPr>
                                        <a:xfrm>
                                          <a:off x="0" y="0"/>
                                          <a:ext cx="1630045" cy="283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7.7pt;width:14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" filled="f" stroked="f" strokeweight=".5pt">
              <v:textbox>
                <w:txbxContent>
                  <w:p w:rsidR="00611933" w:rsidRDefault="00611933">
                    <w:r>
                      <w:rPr>
                        <w:noProof/>
                        <w:lang w:val="fr-CH" w:eastAsia="fr-CH"/>
                      </w:rPr>
                      <w:drawing>
                        <wp:inline distT="0" distB="0" distL="0" distR="0" wp14:anchorId="2726E58B" wp14:editId="1A40D5AC">
                          <wp:extent cx="1630045" cy="283845"/>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h_english_RGB_2016.jpg"/>
                                  <pic:cNvPicPr/>
                                </pic:nvPicPr>
                                <pic:blipFill>
                                  <a:blip r:embed="rId2">
                                    <a:extLst>
                                      <a:ext uri="{28A0092B-C50C-407E-A947-70E740481C1C}">
                                        <a14:useLocalDpi xmlns:a14="http://schemas.microsoft.com/office/drawing/2010/main" val="0"/>
                                      </a:ext>
                                    </a:extLst>
                                  </a:blip>
                                  <a:stretch>
                                    <a:fillRect/>
                                  </a:stretch>
                                </pic:blipFill>
                                <pic:spPr>
                                  <a:xfrm>
                                    <a:off x="0" y="0"/>
                                    <a:ext cx="1630045" cy="283845"/>
                                  </a:xfrm>
                                  <a:prstGeom prst="rect">
                                    <a:avLst/>
                                  </a:prstGeom>
                                </pic:spPr>
                              </pic:pic>
                            </a:graphicData>
                          </a:graphic>
                        </wp:inline>
                      </w:drawing>
                    </w:r>
                  </w:p>
                </w:txbxContent>
              </v:textbox>
            </v:shape>
          </w:pict>
        </mc:Fallback>
      </mc:AlternateContent>
    </w:r>
    <w:r w:rsidR="00B47D9D" w:rsidRPr="002277D3">
      <w:rPr>
        <w:rFonts w:ascii="Arial" w:hAnsi="Arial" w:cs="Arial"/>
        <w:b/>
        <w:sz w:val="20"/>
      </w:rPr>
      <w:t xml:space="preserve">Project Cycle </w:t>
    </w:r>
    <w:r w:rsidR="002277D3">
      <w:rPr>
        <w:rFonts w:ascii="Arial" w:hAnsi="Arial" w:cs="Arial"/>
        <w:b/>
        <w:sz w:val="20"/>
      </w:rPr>
      <w:t>Management in Emergencies and Humanitarian crise</w:t>
    </w:r>
    <w:r w:rsidR="00D24B8B" w:rsidRPr="002277D3">
      <w:rPr>
        <w:rFonts w:ascii="Arial" w:hAnsi="Arial" w:cs="Arial"/>
        <w:b/>
        <w:sz w:val="20"/>
      </w:rPr>
      <w:t>s</w:t>
    </w:r>
    <w:r w:rsidR="00B47D9D" w:rsidRPr="002277D3">
      <w:rPr>
        <w:rFonts w:ascii="Arial" w:hAnsi="Arial" w:cs="Arial"/>
        <w:sz w:val="24"/>
        <w:szCs w:val="24"/>
      </w:rPr>
      <w:tab/>
    </w:r>
    <w:r w:rsidR="00B47D9D" w:rsidRPr="002277D3">
      <w:rPr>
        <w:rFonts w:ascii="Arial" w:hAnsi="Arial" w:cs="Arial"/>
        <w:sz w:val="24"/>
        <w:szCs w:val="24"/>
      </w:rPr>
      <w:tab/>
    </w:r>
    <w:r w:rsidR="00B47D9D" w:rsidRPr="002277D3">
      <w:rPr>
        <w:rFonts w:ascii="Arial" w:hAnsi="Arial" w:cs="Arial"/>
        <w:sz w:val="24"/>
        <w:szCs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12459E"/>
    <w:multiLevelType w:val="hybridMultilevel"/>
    <w:tmpl w:val="F664FF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13A66EE5"/>
    <w:multiLevelType w:val="hybridMultilevel"/>
    <w:tmpl w:val="3E022A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56323D8"/>
    <w:multiLevelType w:val="hybridMultilevel"/>
    <w:tmpl w:val="B2FE3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935C61"/>
    <w:multiLevelType w:val="hybridMultilevel"/>
    <w:tmpl w:val="6EBA54FE"/>
    <w:lvl w:ilvl="0" w:tplc="677444B6">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0D27FB6"/>
    <w:multiLevelType w:val="hybridMultilevel"/>
    <w:tmpl w:val="6A7EFF70"/>
    <w:lvl w:ilvl="0" w:tplc="100C0001">
      <w:start w:val="1"/>
      <w:numFmt w:val="bullet"/>
      <w:lvlText w:val=""/>
      <w:lvlJc w:val="left"/>
      <w:pPr>
        <w:ind w:left="1390" w:hanging="360"/>
      </w:pPr>
      <w:rPr>
        <w:rFonts w:ascii="Symbol" w:hAnsi="Symbol" w:hint="default"/>
      </w:rPr>
    </w:lvl>
    <w:lvl w:ilvl="1" w:tplc="100C0003">
      <w:start w:val="1"/>
      <w:numFmt w:val="bullet"/>
      <w:lvlText w:val="o"/>
      <w:lvlJc w:val="left"/>
      <w:pPr>
        <w:ind w:left="2110" w:hanging="360"/>
      </w:pPr>
      <w:rPr>
        <w:rFonts w:ascii="Courier New" w:hAnsi="Courier New" w:cs="Courier New" w:hint="default"/>
      </w:rPr>
    </w:lvl>
    <w:lvl w:ilvl="2" w:tplc="100C0005">
      <w:start w:val="1"/>
      <w:numFmt w:val="bullet"/>
      <w:lvlText w:val=""/>
      <w:lvlJc w:val="left"/>
      <w:pPr>
        <w:ind w:left="2830" w:hanging="360"/>
      </w:pPr>
      <w:rPr>
        <w:rFonts w:ascii="Wingdings" w:hAnsi="Wingdings" w:hint="default"/>
      </w:rPr>
    </w:lvl>
    <w:lvl w:ilvl="3" w:tplc="100C0001">
      <w:start w:val="1"/>
      <w:numFmt w:val="bullet"/>
      <w:lvlText w:val=""/>
      <w:lvlJc w:val="left"/>
      <w:pPr>
        <w:ind w:left="3550" w:hanging="360"/>
      </w:pPr>
      <w:rPr>
        <w:rFonts w:ascii="Symbol" w:hAnsi="Symbol" w:hint="default"/>
      </w:rPr>
    </w:lvl>
    <w:lvl w:ilvl="4" w:tplc="100C0003">
      <w:start w:val="1"/>
      <w:numFmt w:val="bullet"/>
      <w:lvlText w:val="o"/>
      <w:lvlJc w:val="left"/>
      <w:pPr>
        <w:ind w:left="4270" w:hanging="360"/>
      </w:pPr>
      <w:rPr>
        <w:rFonts w:ascii="Courier New" w:hAnsi="Courier New" w:cs="Courier New" w:hint="default"/>
      </w:rPr>
    </w:lvl>
    <w:lvl w:ilvl="5" w:tplc="100C0005">
      <w:start w:val="1"/>
      <w:numFmt w:val="bullet"/>
      <w:lvlText w:val=""/>
      <w:lvlJc w:val="left"/>
      <w:pPr>
        <w:ind w:left="4990" w:hanging="360"/>
      </w:pPr>
      <w:rPr>
        <w:rFonts w:ascii="Wingdings" w:hAnsi="Wingdings" w:hint="default"/>
      </w:rPr>
    </w:lvl>
    <w:lvl w:ilvl="6" w:tplc="100C0001">
      <w:start w:val="1"/>
      <w:numFmt w:val="bullet"/>
      <w:lvlText w:val=""/>
      <w:lvlJc w:val="left"/>
      <w:pPr>
        <w:ind w:left="5710" w:hanging="360"/>
      </w:pPr>
      <w:rPr>
        <w:rFonts w:ascii="Symbol" w:hAnsi="Symbol" w:hint="default"/>
      </w:rPr>
    </w:lvl>
    <w:lvl w:ilvl="7" w:tplc="100C0003">
      <w:start w:val="1"/>
      <w:numFmt w:val="bullet"/>
      <w:lvlText w:val="o"/>
      <w:lvlJc w:val="left"/>
      <w:pPr>
        <w:ind w:left="6430" w:hanging="360"/>
      </w:pPr>
      <w:rPr>
        <w:rFonts w:ascii="Courier New" w:hAnsi="Courier New" w:cs="Courier New" w:hint="default"/>
      </w:rPr>
    </w:lvl>
    <w:lvl w:ilvl="8" w:tplc="100C0005">
      <w:start w:val="1"/>
      <w:numFmt w:val="bullet"/>
      <w:lvlText w:val=""/>
      <w:lvlJc w:val="left"/>
      <w:pPr>
        <w:ind w:left="7150" w:hanging="360"/>
      </w:pPr>
      <w:rPr>
        <w:rFonts w:ascii="Wingdings" w:hAnsi="Wingdings" w:hint="default"/>
      </w:rPr>
    </w:lvl>
  </w:abstractNum>
  <w:abstractNum w:abstractNumId="10">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DA1DDC"/>
    <w:multiLevelType w:val="hybridMultilevel"/>
    <w:tmpl w:val="8E5A9C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79557EAD"/>
    <w:multiLevelType w:val="hybridMultilevel"/>
    <w:tmpl w:val="305A46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7CD96C54"/>
    <w:multiLevelType w:val="hybridMultilevel"/>
    <w:tmpl w:val="5B7AC54A"/>
    <w:lvl w:ilvl="0" w:tplc="6A6E581A">
      <w:start w:val="1"/>
      <w:numFmt w:val="decimal"/>
      <w:lvlText w:val="%1."/>
      <w:lvlJc w:val="left"/>
      <w:pPr>
        <w:ind w:left="720" w:hanging="360"/>
      </w:pPr>
      <w:rPr>
        <w:rFonts w:hint="default"/>
        <w:i/>
        <w:color w:val="F79646" w:themeColor="accent6"/>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1"/>
  </w:num>
  <w:num w:numId="5">
    <w:abstractNumId w:val="10"/>
  </w:num>
  <w:num w:numId="6">
    <w:abstractNumId w:val="2"/>
  </w:num>
  <w:num w:numId="7">
    <w:abstractNumId w:val="0"/>
  </w:num>
  <w:num w:numId="8">
    <w:abstractNumId w:val="6"/>
  </w:num>
  <w:num w:numId="9">
    <w:abstractNumId w:val="9"/>
  </w:num>
  <w:num w:numId="10">
    <w:abstractNumId w:val="8"/>
  </w:num>
  <w:num w:numId="11">
    <w:abstractNumId w:val="14"/>
  </w:num>
  <w:num w:numId="12">
    <w:abstractNumId w:val="5"/>
  </w:num>
  <w:num w:numId="13">
    <w:abstractNumId w:val="3"/>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10B1A"/>
    <w:rsid w:val="00012288"/>
    <w:rsid w:val="0001541C"/>
    <w:rsid w:val="0002032E"/>
    <w:rsid w:val="00023C40"/>
    <w:rsid w:val="0002557B"/>
    <w:rsid w:val="00031276"/>
    <w:rsid w:val="00073B6D"/>
    <w:rsid w:val="00090C9B"/>
    <w:rsid w:val="000C79C5"/>
    <w:rsid w:val="000E6EBA"/>
    <w:rsid w:val="001043D4"/>
    <w:rsid w:val="001100A4"/>
    <w:rsid w:val="00132236"/>
    <w:rsid w:val="001353E8"/>
    <w:rsid w:val="00147771"/>
    <w:rsid w:val="00156634"/>
    <w:rsid w:val="00176249"/>
    <w:rsid w:val="00180AE4"/>
    <w:rsid w:val="0019345F"/>
    <w:rsid w:val="001A0462"/>
    <w:rsid w:val="001F06E8"/>
    <w:rsid w:val="001F0772"/>
    <w:rsid w:val="001F7CC3"/>
    <w:rsid w:val="00204EA0"/>
    <w:rsid w:val="002277D3"/>
    <w:rsid w:val="0024698A"/>
    <w:rsid w:val="002B3ED3"/>
    <w:rsid w:val="002C6723"/>
    <w:rsid w:val="002E2048"/>
    <w:rsid w:val="002E3251"/>
    <w:rsid w:val="002E6AEF"/>
    <w:rsid w:val="00304590"/>
    <w:rsid w:val="00332EB2"/>
    <w:rsid w:val="00343112"/>
    <w:rsid w:val="00350920"/>
    <w:rsid w:val="00366D8A"/>
    <w:rsid w:val="003A3442"/>
    <w:rsid w:val="003C52CC"/>
    <w:rsid w:val="003D5874"/>
    <w:rsid w:val="00402652"/>
    <w:rsid w:val="00463B11"/>
    <w:rsid w:val="00464F50"/>
    <w:rsid w:val="004818CC"/>
    <w:rsid w:val="00481900"/>
    <w:rsid w:val="0049198A"/>
    <w:rsid w:val="00495382"/>
    <w:rsid w:val="00495CC8"/>
    <w:rsid w:val="004A7E92"/>
    <w:rsid w:val="004C22F7"/>
    <w:rsid w:val="004C3308"/>
    <w:rsid w:val="004C33F9"/>
    <w:rsid w:val="004C4606"/>
    <w:rsid w:val="004E370F"/>
    <w:rsid w:val="004E46C2"/>
    <w:rsid w:val="005074D3"/>
    <w:rsid w:val="0051177E"/>
    <w:rsid w:val="0052124F"/>
    <w:rsid w:val="00527FA5"/>
    <w:rsid w:val="00532FD1"/>
    <w:rsid w:val="00543A9C"/>
    <w:rsid w:val="005639C7"/>
    <w:rsid w:val="00567EA1"/>
    <w:rsid w:val="00580A04"/>
    <w:rsid w:val="00597BDC"/>
    <w:rsid w:val="005A2FC7"/>
    <w:rsid w:val="005B1237"/>
    <w:rsid w:val="005D7EDC"/>
    <w:rsid w:val="005E4754"/>
    <w:rsid w:val="005F5A43"/>
    <w:rsid w:val="00611933"/>
    <w:rsid w:val="006333FC"/>
    <w:rsid w:val="006341F1"/>
    <w:rsid w:val="006349BA"/>
    <w:rsid w:val="006411EC"/>
    <w:rsid w:val="00662D45"/>
    <w:rsid w:val="00665968"/>
    <w:rsid w:val="006819FD"/>
    <w:rsid w:val="00682EF9"/>
    <w:rsid w:val="00686B3E"/>
    <w:rsid w:val="006A0670"/>
    <w:rsid w:val="006A1680"/>
    <w:rsid w:val="006B1266"/>
    <w:rsid w:val="006C53EA"/>
    <w:rsid w:val="006D7D6C"/>
    <w:rsid w:val="006F4C6B"/>
    <w:rsid w:val="0070416F"/>
    <w:rsid w:val="00736A8A"/>
    <w:rsid w:val="007518A1"/>
    <w:rsid w:val="00755C09"/>
    <w:rsid w:val="0077050F"/>
    <w:rsid w:val="00773DC0"/>
    <w:rsid w:val="00790C62"/>
    <w:rsid w:val="007924A2"/>
    <w:rsid w:val="007B2758"/>
    <w:rsid w:val="007B3A83"/>
    <w:rsid w:val="007D2373"/>
    <w:rsid w:val="007D299A"/>
    <w:rsid w:val="007D6832"/>
    <w:rsid w:val="007F03F7"/>
    <w:rsid w:val="008170EE"/>
    <w:rsid w:val="0082182C"/>
    <w:rsid w:val="00836E9C"/>
    <w:rsid w:val="008432E6"/>
    <w:rsid w:val="00864525"/>
    <w:rsid w:val="00867D7B"/>
    <w:rsid w:val="008758EA"/>
    <w:rsid w:val="008976D6"/>
    <w:rsid w:val="008A021B"/>
    <w:rsid w:val="008E59BB"/>
    <w:rsid w:val="00964E32"/>
    <w:rsid w:val="00972D7C"/>
    <w:rsid w:val="00977F55"/>
    <w:rsid w:val="00986DF0"/>
    <w:rsid w:val="00994DBC"/>
    <w:rsid w:val="00997575"/>
    <w:rsid w:val="009B5A27"/>
    <w:rsid w:val="009D03B9"/>
    <w:rsid w:val="00A0320F"/>
    <w:rsid w:val="00A57B68"/>
    <w:rsid w:val="00A709B6"/>
    <w:rsid w:val="00A70CDF"/>
    <w:rsid w:val="00A77BD9"/>
    <w:rsid w:val="00A950EA"/>
    <w:rsid w:val="00A96F59"/>
    <w:rsid w:val="00AC393E"/>
    <w:rsid w:val="00AC7695"/>
    <w:rsid w:val="00AD5D38"/>
    <w:rsid w:val="00AE02B8"/>
    <w:rsid w:val="00AE5E7A"/>
    <w:rsid w:val="00B07F2B"/>
    <w:rsid w:val="00B123E8"/>
    <w:rsid w:val="00B17240"/>
    <w:rsid w:val="00B221E3"/>
    <w:rsid w:val="00B24F5C"/>
    <w:rsid w:val="00B340C3"/>
    <w:rsid w:val="00B47D9D"/>
    <w:rsid w:val="00B90D9A"/>
    <w:rsid w:val="00BA6983"/>
    <w:rsid w:val="00BB5D9F"/>
    <w:rsid w:val="00BC7D8C"/>
    <w:rsid w:val="00C02CF4"/>
    <w:rsid w:val="00C45155"/>
    <w:rsid w:val="00C509B9"/>
    <w:rsid w:val="00C82EED"/>
    <w:rsid w:val="00C866A4"/>
    <w:rsid w:val="00CB155D"/>
    <w:rsid w:val="00CB7660"/>
    <w:rsid w:val="00CD6E18"/>
    <w:rsid w:val="00CF5923"/>
    <w:rsid w:val="00D11382"/>
    <w:rsid w:val="00D2468B"/>
    <w:rsid w:val="00D24B8B"/>
    <w:rsid w:val="00D37832"/>
    <w:rsid w:val="00D64A0A"/>
    <w:rsid w:val="00D97420"/>
    <w:rsid w:val="00DA5E68"/>
    <w:rsid w:val="00DC12E6"/>
    <w:rsid w:val="00DC18A1"/>
    <w:rsid w:val="00DC6C6A"/>
    <w:rsid w:val="00DF77DF"/>
    <w:rsid w:val="00E035F1"/>
    <w:rsid w:val="00E30DEE"/>
    <w:rsid w:val="00E31048"/>
    <w:rsid w:val="00E375FE"/>
    <w:rsid w:val="00E857CF"/>
    <w:rsid w:val="00EA32CC"/>
    <w:rsid w:val="00EB4AB6"/>
    <w:rsid w:val="00EC5886"/>
    <w:rsid w:val="00EC60AD"/>
    <w:rsid w:val="00EE3C76"/>
    <w:rsid w:val="00EE3E58"/>
    <w:rsid w:val="00EF0AF5"/>
    <w:rsid w:val="00F07DF7"/>
    <w:rsid w:val="00F72B19"/>
    <w:rsid w:val="00F74418"/>
    <w:rsid w:val="00F95631"/>
    <w:rsid w:val="00FA18D5"/>
    <w:rsid w:val="00FC1E4D"/>
    <w:rsid w:val="00FC56D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NormalWeb">
    <w:name w:val="Normal (Web)"/>
    <w:basedOn w:val="Normal"/>
    <w:uiPriority w:val="99"/>
    <w:semiHidden/>
    <w:unhideWhenUsed/>
    <w:rsid w:val="00FC1E4D"/>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link w:val="ListParagraphChar"/>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semiHidden/>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uiPriority w:val="59"/>
    <w:rsid w:val="00E857C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character" w:customStyle="1" w:styleId="ListParagraphChar">
    <w:name w:val="List Paragraph Char"/>
    <w:link w:val="ListParagraph"/>
    <w:uiPriority w:val="34"/>
    <w:locked/>
    <w:rsid w:val="00AC393E"/>
    <w:rPr>
      <w:rFonts w:ascii="Georgia" w:hAnsi="Georgia"/>
      <w:szCs w:val="20"/>
    </w:rPr>
  </w:style>
  <w:style w:type="paragraph" w:styleId="NormalWeb">
    <w:name w:val="Normal (Web)"/>
    <w:basedOn w:val="Normal"/>
    <w:uiPriority w:val="99"/>
    <w:semiHidden/>
    <w:unhideWhenUsed/>
    <w:rsid w:val="00FC1E4D"/>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17039">
      <w:bodyDiv w:val="1"/>
      <w:marLeft w:val="0"/>
      <w:marRight w:val="0"/>
      <w:marTop w:val="0"/>
      <w:marBottom w:val="0"/>
      <w:divBdr>
        <w:top w:val="none" w:sz="0" w:space="0" w:color="auto"/>
        <w:left w:val="none" w:sz="0" w:space="0" w:color="auto"/>
        <w:bottom w:val="none" w:sz="0" w:space="0" w:color="auto"/>
        <w:right w:val="none" w:sz="0" w:space="0" w:color="auto"/>
      </w:divBdr>
    </w:div>
    <w:div w:id="759260357">
      <w:bodyDiv w:val="1"/>
      <w:marLeft w:val="0"/>
      <w:marRight w:val="0"/>
      <w:marTop w:val="0"/>
      <w:marBottom w:val="0"/>
      <w:divBdr>
        <w:top w:val="none" w:sz="0" w:space="0" w:color="auto"/>
        <w:left w:val="none" w:sz="0" w:space="0" w:color="auto"/>
        <w:bottom w:val="none" w:sz="0" w:space="0" w:color="auto"/>
        <w:right w:val="none" w:sz="0" w:space="0" w:color="auto"/>
      </w:divBdr>
    </w:div>
    <w:div w:id="1101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0.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F5FF-6351-4177-B93A-E33BFE22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2585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Stakeholder Analysis Matrix Template</vt:lpstr>
      <vt:lpstr>Stakeholder Analysis Matrix Template</vt:lpstr>
    </vt:vector>
  </TitlesOfParts>
  <Company>TDH</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Analysis Matrix Template</dc:title>
  <dc:creator>Piroska</dc:creator>
  <cp:keywords>International Development</cp:keywords>
  <cp:lastModifiedBy>Catherine Halle</cp:lastModifiedBy>
  <cp:revision>24</cp:revision>
  <cp:lastPrinted>2013-04-01T05:26:00Z</cp:lastPrinted>
  <dcterms:created xsi:type="dcterms:W3CDTF">2017-10-04T05:47:00Z</dcterms:created>
  <dcterms:modified xsi:type="dcterms:W3CDTF">2017-10-10T06:05:00Z</dcterms:modified>
</cp:coreProperties>
</file>