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E28" w:rsidRPr="001B12B9" w:rsidRDefault="00B91E28" w:rsidP="00B91E28">
      <w:pPr>
        <w:jc w:val="center"/>
        <w:rPr>
          <w:rFonts w:ascii="Calibri" w:eastAsia="Calibri" w:hAnsi="Calibri" w:cs="Times New Roman"/>
          <w:b/>
          <w:color w:val="17365D" w:themeColor="text2" w:themeShade="BF"/>
          <w:sz w:val="24"/>
          <w:szCs w:val="24"/>
        </w:rPr>
      </w:pPr>
      <w:r w:rsidRPr="001B12B9">
        <w:rPr>
          <w:rFonts w:ascii="Calibri" w:eastAsia="Calibri" w:hAnsi="Calibri" w:cs="Times New Roman"/>
          <w:b/>
          <w:color w:val="17365D" w:themeColor="text2" w:themeShade="BF"/>
          <w:sz w:val="24"/>
          <w:szCs w:val="24"/>
        </w:rPr>
        <w:t xml:space="preserve">Contribution Programme Tdh 2017-2020 </w:t>
      </w:r>
      <w:r>
        <w:rPr>
          <w:rFonts w:ascii="Calibri" w:eastAsia="Calibri" w:hAnsi="Calibri" w:cs="Times New Roman"/>
          <w:b/>
          <w:color w:val="17365D" w:themeColor="text2" w:themeShade="BF"/>
          <w:sz w:val="24"/>
          <w:szCs w:val="24"/>
        </w:rPr>
        <w:t xml:space="preserve">/ </w:t>
      </w:r>
      <w:r w:rsidRPr="001B12B9">
        <w:rPr>
          <w:rFonts w:ascii="Calibri" w:eastAsia="Calibri" w:hAnsi="Calibri" w:cs="Times New Roman"/>
          <w:b/>
          <w:color w:val="17365D" w:themeColor="text2" w:themeShade="BF"/>
          <w:sz w:val="24"/>
          <w:szCs w:val="24"/>
        </w:rPr>
        <w:t>Plan straté</w:t>
      </w:r>
      <w:r>
        <w:rPr>
          <w:rFonts w:ascii="Calibri" w:eastAsia="Calibri" w:hAnsi="Calibri" w:cs="Times New Roman"/>
          <w:b/>
          <w:color w:val="17365D" w:themeColor="text2" w:themeShade="BF"/>
          <w:sz w:val="24"/>
          <w:szCs w:val="24"/>
        </w:rPr>
        <w:t>gique 2016-</w:t>
      </w:r>
      <w:r w:rsidRPr="001B12B9">
        <w:rPr>
          <w:rFonts w:ascii="Calibri" w:eastAsia="Calibri" w:hAnsi="Calibri" w:cs="Times New Roman"/>
          <w:b/>
          <w:color w:val="17365D" w:themeColor="text2" w:themeShade="BF"/>
          <w:sz w:val="24"/>
          <w:szCs w:val="24"/>
        </w:rPr>
        <w:t>2020</w:t>
      </w:r>
    </w:p>
    <w:p w:rsidR="00B91E28" w:rsidRPr="00F57649" w:rsidRDefault="00B91E28" w:rsidP="00B91E28">
      <w:pPr>
        <w:jc w:val="center"/>
        <w:rPr>
          <w:rFonts w:ascii="Calibri" w:eastAsia="Calibri" w:hAnsi="Calibri" w:cs="Times New Roman"/>
          <w:b/>
          <w:color w:val="17365D" w:themeColor="text2" w:themeShade="BF"/>
          <w:sz w:val="32"/>
          <w:szCs w:val="32"/>
        </w:rPr>
      </w:pPr>
      <w:r w:rsidRPr="001B12B9">
        <w:rPr>
          <w:rFonts w:ascii="Calibri" w:eastAsia="Calibri" w:hAnsi="Calibri" w:cs="Times New Roman"/>
          <w:b/>
          <w:color w:val="17365D" w:themeColor="text2" w:themeShade="BF"/>
          <w:sz w:val="24"/>
          <w:szCs w:val="24"/>
        </w:rPr>
        <w:t>Indicateurs programmatiques</w:t>
      </w:r>
    </w:p>
    <w:p w:rsidR="00B16C96" w:rsidRPr="00B16C96" w:rsidRDefault="00B16C96" w:rsidP="00CF0FA1">
      <w:pPr>
        <w:jc w:val="center"/>
        <w:rPr>
          <w:rFonts w:ascii="Calibri" w:eastAsia="Calibri" w:hAnsi="Calibri" w:cs="Times New Roman"/>
          <w:b/>
          <w:lang w:val="fr-FR"/>
        </w:rPr>
      </w:pPr>
    </w:p>
    <w:p w:rsidR="00B16C96" w:rsidRPr="00B16C96" w:rsidRDefault="000723C9" w:rsidP="00B16C96">
      <w:pPr>
        <w:rPr>
          <w:rFonts w:ascii="Calibri" w:eastAsia="Calibri" w:hAnsi="Calibri" w:cs="Times New Roman"/>
          <w:b/>
        </w:rPr>
      </w:pPr>
      <w:r>
        <w:rPr>
          <w:rFonts w:ascii="Calibri" w:eastAsia="Calibri" w:hAnsi="Calibri" w:cs="Times New Roman"/>
          <w:b/>
          <w:lang w:val="fr-FR"/>
        </w:rPr>
        <w:t>[Programme]</w:t>
      </w:r>
      <w:r w:rsidR="00B16C96" w:rsidRPr="00B16C96">
        <w:rPr>
          <w:rFonts w:ascii="Calibri" w:eastAsia="Calibri" w:hAnsi="Calibri" w:cs="Times New Roman"/>
          <w:b/>
          <w:lang w:val="fr-FR"/>
        </w:rPr>
        <w:t xml:space="preserve"> </w:t>
      </w:r>
      <w:r w:rsidR="00B16C96" w:rsidRPr="00B16C96">
        <w:rPr>
          <w:rFonts w:ascii="Calibri" w:eastAsia="Calibri" w:hAnsi="Calibri" w:cs="Times New Roman"/>
          <w:bCs/>
        </w:rPr>
        <w:t>Justice Juvénile</w:t>
      </w:r>
    </w:p>
    <w:p w:rsidR="00B16C96" w:rsidRPr="00B16C96" w:rsidRDefault="003D6FF2" w:rsidP="007E4563">
      <w:pPr>
        <w:jc w:val="both"/>
        <w:rPr>
          <w:rFonts w:ascii="Calibri" w:eastAsia="Calibri" w:hAnsi="Calibri" w:cs="Arial"/>
        </w:rPr>
      </w:pPr>
      <w:r>
        <w:rPr>
          <w:rFonts w:ascii="Calibri" w:eastAsia="Calibri" w:hAnsi="Calibri" w:cs="Times New Roman"/>
          <w:b/>
          <w:lang w:val="fr-FR"/>
        </w:rPr>
        <w:t>[Résultat] RA 2</w:t>
      </w:r>
      <w:r w:rsidR="00B16C96" w:rsidRPr="00B16C96">
        <w:rPr>
          <w:rFonts w:ascii="Calibri" w:eastAsia="Calibri" w:hAnsi="Calibri" w:cs="Times New Roman"/>
          <w:b/>
          <w:lang w:val="fr-FR"/>
        </w:rPr>
        <w:t xml:space="preserve">.1 </w:t>
      </w:r>
      <w:r w:rsidR="007E4563" w:rsidRPr="008863FF">
        <w:t>En 2020, au plan international et dans plusieurs régions du monde, les acteurs impliqués dans la justice juvénile ont pris et/ou ont mis en œuvre des décisions qui valorisent l’approche restauratrice et contribuent à promouvoir l’accès des enfants à une justice adaptée, luttent contre les violences faites aux enfants dans les systèmes de justice juvénile, augmentent le taux d’enfants bénéficiant de mesures non-privatives de liberté et renforcent le rôle et la participation des enfants, de leurs familles et de la  communauté.</w:t>
      </w:r>
    </w:p>
    <w:p w:rsidR="00B16C96" w:rsidRPr="003C30E8" w:rsidRDefault="00B16C96" w:rsidP="003C30E8">
      <w:pPr>
        <w:rPr>
          <w:rFonts w:ascii="Calibri" w:eastAsia="Calibri" w:hAnsi="Calibri"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6877"/>
      </w:tblGrid>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Indicateur (Titre)</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1895" w:rsidRPr="003C30E8" w:rsidRDefault="00B91E28" w:rsidP="007C5451">
            <w:pPr>
              <w:spacing w:after="0"/>
              <w:rPr>
                <w:sz w:val="20"/>
                <w:szCs w:val="20"/>
                <w:lang w:val="fr-FR"/>
              </w:rPr>
            </w:pPr>
            <w:r>
              <w:rPr>
                <w:sz w:val="20"/>
                <w:szCs w:val="20"/>
                <w:lang w:val="fr-FR"/>
              </w:rPr>
              <w:t xml:space="preserve">2.1 </w:t>
            </w:r>
            <w:r w:rsidR="0053199D" w:rsidRPr="003C30E8">
              <w:rPr>
                <w:sz w:val="20"/>
                <w:szCs w:val="20"/>
                <w:lang w:val="fr-FR"/>
              </w:rPr>
              <w:t xml:space="preserve">Nombre de politiques, législations, et procédures qui ont été construites avec les appuis techniques directs de </w:t>
            </w:r>
            <w:r w:rsidR="00A71D60" w:rsidRPr="003C30E8">
              <w:rPr>
                <w:sz w:val="20"/>
                <w:szCs w:val="20"/>
                <w:lang w:val="fr-FR"/>
              </w:rPr>
              <w:t>Tdh</w:t>
            </w:r>
            <w:r w:rsidR="00CF0FA1" w:rsidRPr="003C30E8">
              <w:rPr>
                <w:sz w:val="20"/>
                <w:szCs w:val="20"/>
                <w:lang w:val="fr-FR"/>
              </w:rPr>
              <w:t xml:space="preserve"> </w:t>
            </w:r>
            <w:r w:rsidR="00CF0FA1" w:rsidRPr="003C30E8">
              <w:rPr>
                <w:color w:val="1F497D" w:themeColor="text2"/>
                <w:sz w:val="20"/>
                <w:szCs w:val="20"/>
                <w:lang w:val="fr-FR"/>
              </w:rPr>
              <w:t>[</w:t>
            </w:r>
            <w:r w:rsidR="00551190" w:rsidRPr="003C30E8">
              <w:rPr>
                <w:color w:val="1F497D" w:themeColor="text2"/>
                <w:sz w:val="20"/>
                <w:szCs w:val="20"/>
                <w:lang w:val="fr-FR"/>
              </w:rPr>
              <w:t>dans le domaine de justice juvénile restauratrice et les normes et standards internationaux des droits de l’enfant</w:t>
            </w:r>
            <w:r w:rsidR="00CF0FA1" w:rsidRPr="003C30E8">
              <w:rPr>
                <w:color w:val="1F497D" w:themeColor="text2"/>
                <w:sz w:val="20"/>
                <w:szCs w:val="20"/>
                <w:lang w:val="fr-FR"/>
              </w:rPr>
              <w:t>]</w:t>
            </w:r>
            <w:r w:rsidR="00A71D60" w:rsidRPr="003C30E8">
              <w:rPr>
                <w:color w:val="1F497D" w:themeColor="text2"/>
                <w:sz w:val="20"/>
                <w:szCs w:val="20"/>
                <w:lang w:val="fr-FR"/>
              </w:rPr>
              <w:t xml:space="preserve"> </w:t>
            </w:r>
            <w:r w:rsidR="0053199D" w:rsidRPr="003C30E8">
              <w:rPr>
                <w:sz w:val="20"/>
                <w:szCs w:val="20"/>
                <w:lang w:val="fr-FR"/>
              </w:rPr>
              <w:t>et validés par les autorités compétentes</w:t>
            </w:r>
          </w:p>
          <w:p w:rsidR="00001895" w:rsidRDefault="00001895" w:rsidP="007C5451">
            <w:pPr>
              <w:spacing w:after="0"/>
              <w:rPr>
                <w:sz w:val="20"/>
                <w:szCs w:val="20"/>
                <w:lang w:val="fr-FR"/>
              </w:rPr>
            </w:pPr>
          </w:p>
          <w:p w:rsidR="003C30E8" w:rsidRPr="005C1189" w:rsidRDefault="003C30E8" w:rsidP="007C5451">
            <w:pPr>
              <w:spacing w:after="0"/>
              <w:rPr>
                <w:sz w:val="20"/>
                <w:szCs w:val="20"/>
                <w:lang w:val="fr-FR"/>
              </w:rPr>
            </w:pPr>
            <w:r>
              <w:rPr>
                <w:sz w:val="20"/>
                <w:szCs w:val="20"/>
                <w:lang w:val="fr-FR"/>
              </w:rPr>
              <w:t>« </w:t>
            </w:r>
            <w:r w:rsidR="000723C9">
              <w:rPr>
                <w:sz w:val="20"/>
                <w:szCs w:val="20"/>
                <w:lang w:val="fr-FR"/>
              </w:rPr>
              <w:t>Politiques</w:t>
            </w:r>
            <w:r>
              <w:rPr>
                <w:sz w:val="20"/>
                <w:szCs w:val="20"/>
                <w:lang w:val="fr-FR"/>
              </w:rPr>
              <w:t>, législation et procédures JJR »</w:t>
            </w: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Définition</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1895" w:rsidRPr="00411A95" w:rsidRDefault="00A45960" w:rsidP="00A45960">
            <w:pPr>
              <w:spacing w:after="0"/>
              <w:rPr>
                <w:sz w:val="20"/>
                <w:szCs w:val="20"/>
                <w:lang w:val="fr-FR"/>
              </w:rPr>
            </w:pPr>
            <w:r w:rsidRPr="00411A95">
              <w:rPr>
                <w:b/>
                <w:sz w:val="20"/>
                <w:szCs w:val="20"/>
                <w:lang w:val="fr-FR"/>
              </w:rPr>
              <w:t>Politique</w:t>
            </w:r>
            <w:r w:rsidRPr="00411A95">
              <w:rPr>
                <w:sz w:val="20"/>
                <w:szCs w:val="20"/>
                <w:lang w:val="fr-FR"/>
              </w:rPr>
              <w:t xml:space="preserve"> : document de politique </w:t>
            </w:r>
            <w:r w:rsidRPr="00411A95">
              <w:rPr>
                <w:sz w:val="20"/>
                <w:szCs w:val="20"/>
                <w:u w:val="single"/>
                <w:lang w:val="fr-FR"/>
              </w:rPr>
              <w:t>publique</w:t>
            </w:r>
            <w:r w:rsidRPr="00411A95">
              <w:rPr>
                <w:sz w:val="20"/>
                <w:szCs w:val="20"/>
                <w:lang w:val="fr-FR"/>
              </w:rPr>
              <w:t xml:space="preserve"> définissant un cadre de travail pour les autorités concernées dans le </w:t>
            </w:r>
            <w:r w:rsidR="005E050B" w:rsidRPr="00411A95">
              <w:rPr>
                <w:sz w:val="20"/>
                <w:szCs w:val="20"/>
                <w:lang w:val="fr-FR"/>
              </w:rPr>
              <w:t>[dans le domaine de justice juvénile restauratrice et les normes et standards internationaux des droits de l’enfant]</w:t>
            </w:r>
            <w:r w:rsidRPr="00411A95">
              <w:rPr>
                <w:sz w:val="20"/>
                <w:szCs w:val="20"/>
                <w:lang w:val="fr-FR"/>
              </w:rPr>
              <w:t xml:space="preserve">, etc. </w:t>
            </w:r>
            <w:r w:rsidR="00F07C11" w:rsidRPr="00411A95">
              <w:rPr>
                <w:sz w:val="20"/>
                <w:szCs w:val="20"/>
                <w:lang w:val="fr-FR"/>
              </w:rPr>
              <w:t>(par exemple, Code de l’enfant, Politique pénale, Loi d’application des mesures non-privatives de liberté, loi pénitentiaire, etc.)</w:t>
            </w:r>
            <w:r w:rsidR="00816C91" w:rsidRPr="00411A95">
              <w:rPr>
                <w:sz w:val="20"/>
                <w:szCs w:val="20"/>
                <w:lang w:val="fr-FR"/>
              </w:rPr>
              <w:t>.</w:t>
            </w:r>
          </w:p>
          <w:p w:rsidR="00A45960" w:rsidRPr="005C1189" w:rsidRDefault="00A45960" w:rsidP="00EA7EE3">
            <w:pPr>
              <w:spacing w:after="0"/>
              <w:rPr>
                <w:sz w:val="20"/>
                <w:szCs w:val="20"/>
                <w:lang w:val="fr-FR"/>
              </w:rPr>
            </w:pPr>
            <w:r w:rsidRPr="00411A95">
              <w:rPr>
                <w:b/>
                <w:sz w:val="20"/>
                <w:szCs w:val="20"/>
                <w:lang w:val="fr-FR"/>
              </w:rPr>
              <w:t>Législation</w:t>
            </w:r>
            <w:r w:rsidR="00EA7EE3" w:rsidRPr="00411A95">
              <w:rPr>
                <w:sz w:val="20"/>
                <w:szCs w:val="20"/>
                <w:lang w:val="fr-FR"/>
              </w:rPr>
              <w:t xml:space="preserve"> : </w:t>
            </w:r>
            <w:r w:rsidR="00F07C11" w:rsidRPr="00411A95">
              <w:rPr>
                <w:sz w:val="20"/>
                <w:szCs w:val="20"/>
                <w:lang w:val="fr-FR"/>
              </w:rPr>
              <w:t xml:space="preserve">Au sens large, règle de </w:t>
            </w:r>
            <w:proofErr w:type="gramStart"/>
            <w:r w:rsidR="000723C9" w:rsidRPr="00411A95">
              <w:rPr>
                <w:sz w:val="20"/>
                <w:szCs w:val="20"/>
                <w:lang w:val="fr-FR"/>
              </w:rPr>
              <w:t>droit édicté</w:t>
            </w:r>
            <w:r w:rsidR="000723C9">
              <w:rPr>
                <w:sz w:val="20"/>
                <w:szCs w:val="20"/>
                <w:lang w:val="fr-FR"/>
              </w:rPr>
              <w:t>e</w:t>
            </w:r>
            <w:proofErr w:type="gramEnd"/>
            <w:r w:rsidR="00F07C11" w:rsidRPr="00411A95">
              <w:rPr>
                <w:sz w:val="20"/>
                <w:szCs w:val="20"/>
                <w:lang w:val="fr-FR"/>
              </w:rPr>
              <w:t xml:space="preserve">, qu’elle soit d’origine parlementaire (loi au sens strict) ou non (directive, règlements, ordonnances, </w:t>
            </w:r>
            <w:r w:rsidR="00F07C11" w:rsidRPr="005C1189">
              <w:rPr>
                <w:sz w:val="20"/>
                <w:szCs w:val="20"/>
                <w:lang w:val="fr-FR"/>
              </w:rPr>
              <w:t>décrets, arrêtés)</w:t>
            </w:r>
            <w:r w:rsidR="00EA7EE3" w:rsidRPr="005C1189">
              <w:rPr>
                <w:rStyle w:val="Appelnotedebasdep"/>
                <w:sz w:val="20"/>
                <w:szCs w:val="20"/>
                <w:lang w:val="fr-FR"/>
              </w:rPr>
              <w:footnoteReference w:id="1"/>
            </w:r>
            <w:r w:rsidR="00EA7EE3" w:rsidRPr="005C1189">
              <w:rPr>
                <w:sz w:val="20"/>
                <w:szCs w:val="20"/>
                <w:lang w:val="fr-FR"/>
              </w:rPr>
              <w:t>.</w:t>
            </w:r>
            <w:r w:rsidRPr="005C1189">
              <w:rPr>
                <w:sz w:val="20"/>
                <w:szCs w:val="20"/>
                <w:lang w:val="fr-FR"/>
              </w:rPr>
              <w:t xml:space="preserve"> </w:t>
            </w:r>
          </w:p>
          <w:p w:rsidR="00E9467C" w:rsidRPr="00411A95" w:rsidRDefault="00E9467C" w:rsidP="00E9467C">
            <w:pPr>
              <w:spacing w:after="0"/>
              <w:rPr>
                <w:sz w:val="20"/>
                <w:szCs w:val="20"/>
                <w:lang w:val="fr-FR"/>
              </w:rPr>
            </w:pPr>
            <w:r w:rsidRPr="00411A95">
              <w:rPr>
                <w:b/>
                <w:sz w:val="20"/>
                <w:szCs w:val="20"/>
                <w:lang w:val="fr-FR"/>
              </w:rPr>
              <w:t>Procédure</w:t>
            </w:r>
            <w:r w:rsidRPr="00411A95">
              <w:rPr>
                <w:sz w:val="20"/>
                <w:szCs w:val="20"/>
                <w:lang w:val="fr-FR"/>
              </w:rPr>
              <w:t> : document technique définissant les étapes, les rôles, les conditions de la mise en œuvre de législations ou de politiques.</w:t>
            </w:r>
            <w:r w:rsidR="001A4770" w:rsidRPr="00411A95">
              <w:rPr>
                <w:sz w:val="20"/>
                <w:szCs w:val="20"/>
                <w:lang w:val="fr-FR"/>
              </w:rPr>
              <w:t xml:space="preserve"> En général, une procédure est applicable à un corps (ex : le corps juridique), une profession (ex : magistrats), une institution (ex : prison), ou un mécanisme juridique particulier (ex : la procédure pénale des mineurs).</w:t>
            </w:r>
          </w:p>
          <w:p w:rsidR="00E9467C" w:rsidRPr="00411A95" w:rsidRDefault="00E9467C" w:rsidP="00E9467C">
            <w:pPr>
              <w:spacing w:after="0"/>
              <w:rPr>
                <w:sz w:val="20"/>
                <w:szCs w:val="20"/>
                <w:lang w:val="fr-FR"/>
              </w:rPr>
            </w:pPr>
            <w:r w:rsidRPr="00411A95">
              <w:rPr>
                <w:b/>
                <w:sz w:val="20"/>
                <w:szCs w:val="20"/>
                <w:lang w:val="fr-FR"/>
              </w:rPr>
              <w:t>Appui technique direct de Tdh</w:t>
            </w:r>
            <w:r w:rsidRPr="00411A95">
              <w:rPr>
                <w:sz w:val="20"/>
                <w:szCs w:val="20"/>
                <w:lang w:val="fr-FR"/>
              </w:rPr>
              <w:t> : toute intervention d’un personnel de Tdh ou d’un consultant mandaté par Tdh dans la révision, le conseil, l’orientation qui aboutit à une meilleure considération des droits de l’enfant, standards et normes internationales, bonnes pratiques ou bon sens dans le domaine de la justice juvénile ou de la protection de l’enfance.</w:t>
            </w:r>
          </w:p>
          <w:p w:rsidR="002847D0" w:rsidRPr="00411A95" w:rsidRDefault="002847D0" w:rsidP="002847D0">
            <w:pPr>
              <w:spacing w:after="0"/>
              <w:rPr>
                <w:sz w:val="20"/>
                <w:szCs w:val="20"/>
                <w:lang w:val="fr-FR"/>
              </w:rPr>
            </w:pPr>
            <w:r w:rsidRPr="00411A95">
              <w:rPr>
                <w:b/>
                <w:sz w:val="20"/>
                <w:szCs w:val="20"/>
                <w:lang w:val="fr-FR"/>
              </w:rPr>
              <w:t>Validés par les autorités compétentes</w:t>
            </w:r>
            <w:r w:rsidRPr="00411A95">
              <w:rPr>
                <w:sz w:val="20"/>
                <w:szCs w:val="20"/>
                <w:lang w:val="fr-FR"/>
              </w:rPr>
              <w:t> : pour être comptabilisée, la politique, la législation ou la procédure doit être entré en vigueur, c’est-à-dire doit être devenue applicable.</w:t>
            </w:r>
          </w:p>
          <w:p w:rsidR="003D6FF2" w:rsidRPr="00411A95" w:rsidRDefault="003D6FF2" w:rsidP="002847D0">
            <w:pPr>
              <w:spacing w:after="0"/>
              <w:rPr>
                <w:sz w:val="20"/>
                <w:szCs w:val="20"/>
                <w:lang w:val="fr-FR"/>
              </w:rPr>
            </w:pP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 xml:space="preserve">Ce qu’il mesure </w:t>
            </w:r>
          </w:p>
          <w:p w:rsidR="005821DC" w:rsidRPr="005C1189" w:rsidRDefault="00505E9F" w:rsidP="007C5451">
            <w:pPr>
              <w:tabs>
                <w:tab w:val="left" w:pos="3960"/>
              </w:tabs>
              <w:spacing w:after="120" w:line="240" w:lineRule="auto"/>
              <w:rPr>
                <w:rFonts w:ascii="Calibri" w:eastAsia="Calibri" w:hAnsi="Calibri" w:cs="Calibri"/>
                <w:b/>
                <w:bCs/>
                <w:sz w:val="20"/>
                <w:szCs w:val="20"/>
                <w:lang w:eastAsia="fr-FR"/>
              </w:rPr>
            </w:pPr>
            <w:r w:rsidRPr="00411A95">
              <w:rPr>
                <w:rFonts w:ascii="Arial" w:hAnsi="Arial" w:cs="Arial"/>
                <w:noProof/>
                <w:sz w:val="20"/>
                <w:szCs w:val="20"/>
                <w:lang w:eastAsia="fr-CH"/>
              </w:rPr>
              <w:lastRenderedPageBreak/>
              <w:drawing>
                <wp:inline distT="0" distB="0" distL="0" distR="0" wp14:anchorId="7731A54C" wp14:editId="469F3D22">
                  <wp:extent cx="486000" cy="486000"/>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Peace, Justice and strong institution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inline>
              </w:drawing>
            </w:r>
          </w:p>
          <w:p w:rsidR="005821DC" w:rsidRPr="00411A95" w:rsidRDefault="005821DC" w:rsidP="007C5451">
            <w:pPr>
              <w:tabs>
                <w:tab w:val="left" w:pos="3960"/>
              </w:tabs>
              <w:spacing w:after="120" w:line="240" w:lineRule="auto"/>
              <w:rPr>
                <w:rFonts w:ascii="Calibri" w:eastAsia="Calibri" w:hAnsi="Calibri" w:cs="Calibri"/>
                <w:b/>
                <w:bCs/>
                <w:sz w:val="20"/>
                <w:szCs w:val="20"/>
                <w:lang w:eastAsia="fr-FR"/>
              </w:rPr>
            </w:pP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81700" w:rsidRDefault="00722157" w:rsidP="00881700">
            <w:pPr>
              <w:spacing w:after="0"/>
              <w:rPr>
                <w:sz w:val="20"/>
                <w:szCs w:val="20"/>
                <w:lang w:val="fr-FR"/>
              </w:rPr>
            </w:pPr>
            <w:r w:rsidRPr="00411A95">
              <w:rPr>
                <w:sz w:val="20"/>
                <w:szCs w:val="20"/>
                <w:lang w:val="fr-FR"/>
              </w:rPr>
              <w:lastRenderedPageBreak/>
              <w:t xml:space="preserve">L’indicateur mesure les </w:t>
            </w:r>
            <w:r w:rsidR="003D7E75" w:rsidRPr="00411A95">
              <w:rPr>
                <w:sz w:val="20"/>
                <w:szCs w:val="20"/>
                <w:lang w:val="fr-FR"/>
              </w:rPr>
              <w:t>c</w:t>
            </w:r>
            <w:r w:rsidR="00881700" w:rsidRPr="00411A95">
              <w:rPr>
                <w:sz w:val="20"/>
                <w:szCs w:val="20"/>
                <w:lang w:val="fr-FR"/>
              </w:rPr>
              <w:t>hangeme</w:t>
            </w:r>
            <w:r w:rsidR="003D7E75" w:rsidRPr="00411A95">
              <w:rPr>
                <w:sz w:val="20"/>
                <w:szCs w:val="20"/>
                <w:lang w:val="fr-FR"/>
              </w:rPr>
              <w:t xml:space="preserve">nts en termes institutionnels, dans le </w:t>
            </w:r>
            <w:r w:rsidR="00881700" w:rsidRPr="00411A95">
              <w:rPr>
                <w:sz w:val="20"/>
                <w:szCs w:val="20"/>
                <w:lang w:val="fr-FR"/>
              </w:rPr>
              <w:t xml:space="preserve">cadre </w:t>
            </w:r>
            <w:r w:rsidR="003D7E75" w:rsidRPr="00411A95">
              <w:rPr>
                <w:sz w:val="20"/>
                <w:szCs w:val="20"/>
                <w:lang w:val="fr-FR"/>
              </w:rPr>
              <w:t xml:space="preserve">de </w:t>
            </w:r>
            <w:r w:rsidR="003D7E75" w:rsidRPr="00411A95">
              <w:rPr>
                <w:sz w:val="20"/>
                <w:szCs w:val="20"/>
                <w:lang w:val="fr-FR"/>
              </w:rPr>
              <w:lastRenderedPageBreak/>
              <w:t>la Vision 2030, de la Stratégie 2017-2020 et de la politique JJ</w:t>
            </w:r>
            <w:r w:rsidR="00DB5818" w:rsidRPr="00411A95">
              <w:rPr>
                <w:sz w:val="20"/>
                <w:szCs w:val="20"/>
                <w:lang w:val="fr-FR"/>
              </w:rPr>
              <w:t>R</w:t>
            </w:r>
            <w:r w:rsidR="00881700" w:rsidRPr="00411A95">
              <w:rPr>
                <w:sz w:val="20"/>
                <w:szCs w:val="20"/>
                <w:lang w:val="fr-FR"/>
              </w:rPr>
              <w:t>.</w:t>
            </w:r>
            <w:r w:rsidR="00CF0FA1" w:rsidRPr="00411A95">
              <w:rPr>
                <w:sz w:val="20"/>
                <w:szCs w:val="20"/>
                <w:lang w:val="fr-FR"/>
              </w:rPr>
              <w:t xml:space="preserve">  Il reflète la contribution de Tdh à des changements de cadre politico-légaux et mesure partiellement le degré d’institutionnalisation des concepts de la justice juvénile </w:t>
            </w:r>
            <w:r w:rsidR="00551190" w:rsidRPr="00411A95">
              <w:rPr>
                <w:sz w:val="20"/>
                <w:szCs w:val="20"/>
                <w:lang w:val="fr-FR"/>
              </w:rPr>
              <w:t>restauratrice et les normes et standards internationaux des droits de l’enfant</w:t>
            </w:r>
            <w:r w:rsidR="00CF0FA1" w:rsidRPr="00411A95">
              <w:rPr>
                <w:sz w:val="20"/>
                <w:szCs w:val="20"/>
                <w:lang w:val="fr-FR"/>
              </w:rPr>
              <w:t xml:space="preserve">.  Cet indicateur, mis en perspective avec les indicateurs de </w:t>
            </w:r>
            <w:r w:rsidR="000723C9" w:rsidRPr="00411A95">
              <w:rPr>
                <w:sz w:val="20"/>
                <w:szCs w:val="20"/>
                <w:lang w:val="fr-FR"/>
              </w:rPr>
              <w:t xml:space="preserve">formation </w:t>
            </w:r>
            <w:r w:rsidR="00CF0FA1" w:rsidRPr="00411A95">
              <w:rPr>
                <w:sz w:val="20"/>
                <w:szCs w:val="20"/>
                <w:lang w:val="fr-FR"/>
              </w:rPr>
              <w:t>de chang</w:t>
            </w:r>
            <w:r w:rsidR="000723C9">
              <w:rPr>
                <w:sz w:val="20"/>
                <w:szCs w:val="20"/>
                <w:lang w:val="fr-FR"/>
              </w:rPr>
              <w:t>ement de pratiques (par ex : indicateur</w:t>
            </w:r>
            <w:r w:rsidR="00CF0FA1" w:rsidRPr="00411A95">
              <w:rPr>
                <w:sz w:val="20"/>
                <w:szCs w:val="20"/>
                <w:lang w:val="fr-FR"/>
              </w:rPr>
              <w:t xml:space="preserve"> sur les mesure de déjudiciarisation), permettra d</w:t>
            </w:r>
            <w:r w:rsidR="009F3FE3" w:rsidRPr="00411A95">
              <w:rPr>
                <w:sz w:val="20"/>
                <w:szCs w:val="20"/>
                <w:lang w:val="fr-FR"/>
              </w:rPr>
              <w:t>’analyser les progrès des institutions dans l’appropriation des standards internationaux en matière de JJ.</w:t>
            </w:r>
          </w:p>
          <w:p w:rsidR="003C30E8" w:rsidRPr="00411A95" w:rsidRDefault="003C30E8" w:rsidP="00881700">
            <w:pPr>
              <w:spacing w:after="0"/>
              <w:rPr>
                <w:sz w:val="20"/>
                <w:szCs w:val="20"/>
                <w:lang w:val="fr-FR"/>
              </w:rPr>
            </w:pPr>
          </w:p>
          <w:p w:rsidR="00881700" w:rsidRPr="00411A95" w:rsidRDefault="00881700" w:rsidP="003A73B4">
            <w:pPr>
              <w:spacing w:after="0"/>
              <w:rPr>
                <w:sz w:val="20"/>
                <w:szCs w:val="20"/>
                <w:lang w:val="fr-FR"/>
              </w:rPr>
            </w:pPr>
            <w:r w:rsidRPr="00411A95">
              <w:rPr>
                <w:sz w:val="20"/>
                <w:szCs w:val="20"/>
                <w:lang w:val="fr-FR"/>
              </w:rPr>
              <w:t xml:space="preserve">Limite : </w:t>
            </w:r>
            <w:r w:rsidR="00B940D7" w:rsidRPr="00411A95">
              <w:rPr>
                <w:sz w:val="20"/>
                <w:szCs w:val="20"/>
                <w:lang w:val="fr-FR"/>
              </w:rPr>
              <w:t xml:space="preserve">la </w:t>
            </w:r>
            <w:r w:rsidRPr="00411A95">
              <w:rPr>
                <w:sz w:val="20"/>
                <w:szCs w:val="20"/>
                <w:lang w:val="fr-FR"/>
              </w:rPr>
              <w:t xml:space="preserve">validation </w:t>
            </w:r>
            <w:r w:rsidR="00B940D7" w:rsidRPr="00411A95">
              <w:rPr>
                <w:sz w:val="20"/>
                <w:szCs w:val="20"/>
                <w:lang w:val="fr-FR"/>
              </w:rPr>
              <w:t xml:space="preserve">d’une politique, législation, procédure ne signifie </w:t>
            </w:r>
            <w:r w:rsidRPr="00411A95">
              <w:rPr>
                <w:sz w:val="20"/>
                <w:szCs w:val="20"/>
                <w:lang w:val="fr-FR"/>
              </w:rPr>
              <w:t xml:space="preserve">pas </w:t>
            </w:r>
            <w:r w:rsidR="00B940D7" w:rsidRPr="00411A95">
              <w:rPr>
                <w:sz w:val="20"/>
                <w:szCs w:val="20"/>
                <w:lang w:val="fr-FR"/>
              </w:rPr>
              <w:t xml:space="preserve">son </w:t>
            </w:r>
            <w:r w:rsidRPr="00411A95">
              <w:rPr>
                <w:sz w:val="20"/>
                <w:szCs w:val="20"/>
                <w:lang w:val="fr-FR"/>
              </w:rPr>
              <w:t xml:space="preserve">implémentation !  </w:t>
            </w:r>
            <w:r w:rsidR="003A73B4" w:rsidRPr="00411A95">
              <w:rPr>
                <w:sz w:val="20"/>
                <w:szCs w:val="20"/>
                <w:lang w:val="fr-FR"/>
              </w:rPr>
              <w:t xml:space="preserve">Il ne dit rien non plus sur la </w:t>
            </w:r>
            <w:r w:rsidRPr="00411A95">
              <w:rPr>
                <w:sz w:val="20"/>
                <w:szCs w:val="20"/>
                <w:lang w:val="fr-FR"/>
              </w:rPr>
              <w:t xml:space="preserve">qualité de l’implémentation et </w:t>
            </w:r>
            <w:r w:rsidR="0078664C" w:rsidRPr="00411A95">
              <w:rPr>
                <w:sz w:val="20"/>
                <w:szCs w:val="20"/>
                <w:lang w:val="fr-FR"/>
              </w:rPr>
              <w:t>l’</w:t>
            </w:r>
            <w:r w:rsidRPr="00411A95">
              <w:rPr>
                <w:sz w:val="20"/>
                <w:szCs w:val="20"/>
                <w:lang w:val="fr-FR"/>
              </w:rPr>
              <w:t>impact sur les enfants</w:t>
            </w:r>
            <w:r w:rsidR="00F5449A" w:rsidRPr="00411A95">
              <w:rPr>
                <w:sz w:val="20"/>
                <w:szCs w:val="20"/>
                <w:lang w:val="fr-FR"/>
              </w:rPr>
              <w:t>.</w:t>
            </w:r>
          </w:p>
          <w:p w:rsidR="00B36689" w:rsidRPr="00411A95" w:rsidRDefault="00B36689" w:rsidP="003A73B4">
            <w:pPr>
              <w:spacing w:after="0"/>
              <w:rPr>
                <w:sz w:val="20"/>
                <w:szCs w:val="20"/>
                <w:lang w:val="fr-FR"/>
              </w:rPr>
            </w:pP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lastRenderedPageBreak/>
              <w:t xml:space="preserve">Unité et désagrégation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1895" w:rsidRPr="00411A95" w:rsidRDefault="00FE7A50" w:rsidP="00001895">
            <w:pPr>
              <w:spacing w:after="0"/>
              <w:rPr>
                <w:sz w:val="20"/>
                <w:szCs w:val="20"/>
                <w:lang w:val="fr-FR"/>
              </w:rPr>
            </w:pPr>
            <w:r w:rsidRPr="00411A95">
              <w:rPr>
                <w:sz w:val="20"/>
                <w:szCs w:val="20"/>
                <w:lang w:val="fr-FR"/>
              </w:rPr>
              <w:t>L’unité est le nombre, la d</w:t>
            </w:r>
            <w:r w:rsidR="003D6FF2" w:rsidRPr="00411A95">
              <w:rPr>
                <w:sz w:val="20"/>
                <w:szCs w:val="20"/>
                <w:lang w:val="fr-FR"/>
              </w:rPr>
              <w:t xml:space="preserve">ésagrégation </w:t>
            </w:r>
            <w:r w:rsidRPr="00411A95">
              <w:rPr>
                <w:sz w:val="20"/>
                <w:szCs w:val="20"/>
                <w:lang w:val="fr-FR"/>
              </w:rPr>
              <w:t xml:space="preserve">se fait </w:t>
            </w:r>
            <w:r w:rsidR="003D6FF2" w:rsidRPr="00411A95">
              <w:rPr>
                <w:sz w:val="20"/>
                <w:szCs w:val="20"/>
                <w:lang w:val="fr-FR"/>
              </w:rPr>
              <w:t>par </w:t>
            </w:r>
            <w:r w:rsidR="009F3FE3" w:rsidRPr="00411A95">
              <w:rPr>
                <w:sz w:val="20"/>
                <w:szCs w:val="20"/>
                <w:lang w:val="fr-FR"/>
              </w:rPr>
              <w:t xml:space="preserve">type / niveau de </w:t>
            </w:r>
            <w:r w:rsidR="002759E7" w:rsidRPr="00411A95">
              <w:rPr>
                <w:sz w:val="20"/>
                <w:szCs w:val="20"/>
                <w:lang w:val="fr-FR"/>
              </w:rPr>
              <w:t>changement :</w:t>
            </w:r>
          </w:p>
          <w:p w:rsidR="003D6FF2" w:rsidRPr="00411A95" w:rsidRDefault="003D6FF2" w:rsidP="003D6FF2">
            <w:pPr>
              <w:pStyle w:val="Paragraphedeliste"/>
              <w:numPr>
                <w:ilvl w:val="0"/>
                <w:numId w:val="2"/>
              </w:numPr>
              <w:spacing w:after="0"/>
              <w:rPr>
                <w:sz w:val="20"/>
                <w:szCs w:val="20"/>
                <w:lang w:val="fr-FR"/>
              </w:rPr>
            </w:pPr>
            <w:r w:rsidRPr="00411A95">
              <w:rPr>
                <w:sz w:val="20"/>
                <w:szCs w:val="20"/>
                <w:lang w:val="fr-FR"/>
              </w:rPr>
              <w:t>Politique</w:t>
            </w:r>
          </w:p>
          <w:p w:rsidR="003D6FF2" w:rsidRPr="00411A95" w:rsidRDefault="003D6FF2" w:rsidP="003D6FF2">
            <w:pPr>
              <w:pStyle w:val="Paragraphedeliste"/>
              <w:numPr>
                <w:ilvl w:val="0"/>
                <w:numId w:val="2"/>
              </w:numPr>
              <w:spacing w:after="0"/>
              <w:rPr>
                <w:sz w:val="20"/>
                <w:szCs w:val="20"/>
                <w:lang w:val="fr-FR"/>
              </w:rPr>
            </w:pPr>
            <w:r w:rsidRPr="00411A95">
              <w:rPr>
                <w:sz w:val="20"/>
                <w:szCs w:val="20"/>
                <w:lang w:val="fr-FR"/>
              </w:rPr>
              <w:t>Législation</w:t>
            </w:r>
          </w:p>
          <w:p w:rsidR="003D6FF2" w:rsidRPr="00411A95" w:rsidRDefault="003D6FF2" w:rsidP="003D6FF2">
            <w:pPr>
              <w:pStyle w:val="Paragraphedeliste"/>
              <w:numPr>
                <w:ilvl w:val="0"/>
                <w:numId w:val="2"/>
              </w:numPr>
              <w:spacing w:after="0"/>
              <w:rPr>
                <w:sz w:val="20"/>
                <w:szCs w:val="20"/>
                <w:lang w:val="fr-FR"/>
              </w:rPr>
            </w:pPr>
            <w:r w:rsidRPr="00411A95">
              <w:rPr>
                <w:sz w:val="20"/>
                <w:szCs w:val="20"/>
                <w:lang w:val="fr-FR"/>
              </w:rPr>
              <w:t>Procédure</w:t>
            </w:r>
          </w:p>
          <w:p w:rsidR="00001895" w:rsidRPr="00411A95" w:rsidRDefault="00001895" w:rsidP="00001895">
            <w:pPr>
              <w:spacing w:after="0"/>
              <w:rPr>
                <w:sz w:val="20"/>
                <w:szCs w:val="20"/>
                <w:lang w:val="fr-FR"/>
              </w:rPr>
            </w:pP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Mode de calcul</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1895" w:rsidRPr="00411A95" w:rsidRDefault="00740A0A" w:rsidP="00EA2738">
            <w:pPr>
              <w:spacing w:after="0"/>
              <w:rPr>
                <w:sz w:val="20"/>
                <w:szCs w:val="20"/>
                <w:lang w:val="fr-FR"/>
              </w:rPr>
            </w:pPr>
            <w:r w:rsidRPr="00411A95">
              <w:rPr>
                <w:sz w:val="20"/>
                <w:szCs w:val="20"/>
                <w:lang w:val="fr-FR"/>
              </w:rPr>
              <w:t>Le nombre total de politique</w:t>
            </w:r>
            <w:r w:rsidR="009F3FE3" w:rsidRPr="00411A95">
              <w:rPr>
                <w:sz w:val="20"/>
                <w:szCs w:val="20"/>
                <w:lang w:val="fr-FR"/>
              </w:rPr>
              <w:t>s</w:t>
            </w:r>
            <w:r w:rsidRPr="00411A95">
              <w:rPr>
                <w:sz w:val="20"/>
                <w:szCs w:val="20"/>
                <w:lang w:val="fr-FR"/>
              </w:rPr>
              <w:t>, législation</w:t>
            </w:r>
            <w:r w:rsidR="009F3FE3" w:rsidRPr="00411A95">
              <w:rPr>
                <w:sz w:val="20"/>
                <w:szCs w:val="20"/>
                <w:lang w:val="fr-FR"/>
              </w:rPr>
              <w:t>s</w:t>
            </w:r>
            <w:r w:rsidRPr="00411A95">
              <w:rPr>
                <w:sz w:val="20"/>
                <w:szCs w:val="20"/>
                <w:lang w:val="fr-FR"/>
              </w:rPr>
              <w:t>, procédure</w:t>
            </w:r>
            <w:r w:rsidR="009F3FE3" w:rsidRPr="00411A95">
              <w:rPr>
                <w:sz w:val="20"/>
                <w:szCs w:val="20"/>
                <w:lang w:val="fr-FR"/>
              </w:rPr>
              <w:t xml:space="preserve">s </w:t>
            </w:r>
            <w:r w:rsidR="0052546E" w:rsidRPr="00411A95">
              <w:rPr>
                <w:sz w:val="20"/>
                <w:szCs w:val="20"/>
                <w:lang w:val="fr-FR"/>
              </w:rPr>
              <w:t>qui ont été construites avec les appuis techniques directs de Tdh et validés par les autorités compétentes</w:t>
            </w:r>
            <w:r w:rsidR="00EA2738" w:rsidRPr="00411A95">
              <w:rPr>
                <w:sz w:val="20"/>
                <w:szCs w:val="20"/>
                <w:lang w:val="fr-FR"/>
              </w:rPr>
              <w:t xml:space="preserve">, au cours de la </w:t>
            </w:r>
            <w:r w:rsidR="00D472E5" w:rsidRPr="00411A95">
              <w:rPr>
                <w:sz w:val="20"/>
                <w:szCs w:val="20"/>
                <w:lang w:val="fr-FR"/>
              </w:rPr>
              <w:t xml:space="preserve">période de </w:t>
            </w:r>
            <w:proofErr w:type="spellStart"/>
            <w:r w:rsidR="00D472E5" w:rsidRPr="00411A95">
              <w:rPr>
                <w:sz w:val="20"/>
                <w:szCs w:val="20"/>
                <w:lang w:val="fr-FR"/>
              </w:rPr>
              <w:t>reporting</w:t>
            </w:r>
            <w:proofErr w:type="spellEnd"/>
            <w:r w:rsidR="00D472E5" w:rsidRPr="00411A95">
              <w:rPr>
                <w:sz w:val="20"/>
                <w:szCs w:val="20"/>
                <w:lang w:val="fr-FR"/>
              </w:rPr>
              <w:t xml:space="preserve"> est totalisé pour constituer un chiffre semestriel.</w:t>
            </w: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 xml:space="preserve">Baseline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001895" w:rsidRPr="005C1189" w:rsidRDefault="00862702" w:rsidP="009F3FE3">
            <w:pPr>
              <w:spacing w:after="0"/>
              <w:rPr>
                <w:sz w:val="20"/>
                <w:szCs w:val="20"/>
                <w:lang w:val="fr-FR"/>
              </w:rPr>
            </w:pPr>
            <w:r w:rsidRPr="00411A95">
              <w:rPr>
                <w:iCs/>
                <w:sz w:val="20"/>
                <w:szCs w:val="20"/>
              </w:rPr>
              <w:t xml:space="preserve">Pas de </w:t>
            </w:r>
            <w:proofErr w:type="spellStart"/>
            <w:r w:rsidRPr="00411A95">
              <w:rPr>
                <w:iCs/>
                <w:sz w:val="20"/>
                <w:szCs w:val="20"/>
              </w:rPr>
              <w:t>baseline</w:t>
            </w:r>
            <w:proofErr w:type="spellEnd"/>
            <w:r w:rsidRPr="00411A95">
              <w:rPr>
                <w:iCs/>
                <w:sz w:val="20"/>
                <w:szCs w:val="20"/>
              </w:rPr>
              <w:t xml:space="preserve"> nécessaire.</w:t>
            </w:r>
            <w:r w:rsidR="009F3FE3" w:rsidRPr="00411A95">
              <w:rPr>
                <w:iCs/>
                <w:sz w:val="20"/>
                <w:szCs w:val="20"/>
              </w:rPr>
              <w:t xml:space="preserve">  Au niveau de chaque projet, cependant, une analyse claire des politiques publiques doit être réalisée et un outil de suivi sera à élaborer afin de tracer les progrès.  Le travail d’influence des politiques publiques n’est pas linéaire, car intimement lié </w:t>
            </w:r>
            <w:r w:rsidR="002759E7" w:rsidRPr="00411A95">
              <w:rPr>
                <w:iCs/>
                <w:sz w:val="20"/>
                <w:szCs w:val="20"/>
              </w:rPr>
              <w:t>aux contextes socio politiques</w:t>
            </w:r>
            <w:r w:rsidR="009F3FE3" w:rsidRPr="00411A95">
              <w:rPr>
                <w:iCs/>
                <w:sz w:val="20"/>
                <w:szCs w:val="20"/>
              </w:rPr>
              <w:t xml:space="preserve">.   </w:t>
            </w: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411A95"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 xml:space="preserve">Sources et méthodes de collecte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1895" w:rsidRPr="005C1189" w:rsidRDefault="005C1189" w:rsidP="00B31ADD">
            <w:pPr>
              <w:spacing w:after="0"/>
              <w:rPr>
                <w:sz w:val="20"/>
                <w:szCs w:val="20"/>
                <w:lang w:val="fr-FR"/>
              </w:rPr>
            </w:pPr>
            <w:r>
              <w:rPr>
                <w:sz w:val="20"/>
                <w:szCs w:val="20"/>
                <w:lang w:val="fr-FR"/>
              </w:rPr>
              <w:t>Revue documentaire</w:t>
            </w:r>
            <w:r w:rsidR="00DA0681">
              <w:rPr>
                <w:sz w:val="20"/>
                <w:szCs w:val="20"/>
                <w:lang w:val="fr-FR"/>
              </w:rPr>
              <w:t xml:space="preserve"> (Les sources : l</w:t>
            </w:r>
            <w:r w:rsidR="00DA0681" w:rsidRPr="00411A95">
              <w:rPr>
                <w:sz w:val="20"/>
                <w:szCs w:val="20"/>
                <w:lang w:val="fr-FR"/>
              </w:rPr>
              <w:t>es documents officiels servent de base de référence (Journal officiel, etc.)</w:t>
            </w:r>
            <w:r>
              <w:rPr>
                <w:sz w:val="20"/>
                <w:szCs w:val="20"/>
                <w:lang w:val="fr-FR"/>
              </w:rPr>
              <w:t xml:space="preserve">. </w:t>
            </w:r>
            <w:r w:rsidR="00B31ADD" w:rsidRPr="005C1189">
              <w:rPr>
                <w:sz w:val="20"/>
                <w:szCs w:val="20"/>
                <w:lang w:val="fr-FR"/>
              </w:rPr>
              <w:t xml:space="preserve">L’information provient directement de nos chefs et coordinateurs de projet. Les documents concernés sont annexés au </w:t>
            </w:r>
            <w:proofErr w:type="spellStart"/>
            <w:r w:rsidR="00B31ADD" w:rsidRPr="005C1189">
              <w:rPr>
                <w:sz w:val="20"/>
                <w:szCs w:val="20"/>
                <w:lang w:val="fr-FR"/>
              </w:rPr>
              <w:t>reporting</w:t>
            </w:r>
            <w:proofErr w:type="spellEnd"/>
            <w:r w:rsidR="00B31ADD" w:rsidRPr="005C1189">
              <w:rPr>
                <w:sz w:val="20"/>
                <w:szCs w:val="20"/>
                <w:lang w:val="fr-FR"/>
              </w:rPr>
              <w:t xml:space="preserve"> des indicateurs en mettant en évidence les changements apportés par Tdh et en quoi ils sont alignés avec la Vision 2030, la stratégie 2017-2020 et la politique thématique.</w:t>
            </w: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Outils de collecte</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1895" w:rsidRPr="00411A95" w:rsidRDefault="00DA0681" w:rsidP="00D1796A">
            <w:pPr>
              <w:spacing w:after="0"/>
              <w:rPr>
                <w:sz w:val="20"/>
                <w:szCs w:val="20"/>
                <w:lang w:val="fr-FR"/>
              </w:rPr>
            </w:pPr>
            <w:r>
              <w:rPr>
                <w:sz w:val="20"/>
                <w:szCs w:val="20"/>
                <w:lang w:val="fr-FR"/>
              </w:rPr>
              <w:t>Une fiche de synthèse</w:t>
            </w:r>
            <w:r w:rsidR="00D1796A">
              <w:rPr>
                <w:sz w:val="20"/>
                <w:szCs w:val="20"/>
                <w:lang w:val="fr-FR"/>
              </w:rPr>
              <w:t xml:space="preserve"> à adapter selon le contexte [LIEN HYPERTEXTE]</w:t>
            </w:r>
            <w:r>
              <w:rPr>
                <w:sz w:val="20"/>
                <w:szCs w:val="20"/>
                <w:lang w:val="fr-FR"/>
              </w:rPr>
              <w:t>.</w:t>
            </w:r>
          </w:p>
        </w:tc>
      </w:tr>
      <w:tr w:rsidR="00001895" w:rsidRPr="00411A95" w:rsidTr="007C5451">
        <w:tc>
          <w:tcPr>
            <w:tcW w:w="2303" w:type="dxa"/>
            <w:tcBorders>
              <w:top w:val="single" w:sz="4" w:space="0" w:color="auto"/>
              <w:left w:val="single" w:sz="4" w:space="0" w:color="auto"/>
              <w:bottom w:val="nil"/>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eastAsia="fr-FR"/>
              </w:rPr>
            </w:pPr>
          </w:p>
        </w:tc>
        <w:tc>
          <w:tcPr>
            <w:tcW w:w="6877" w:type="dxa"/>
            <w:tcBorders>
              <w:top w:val="single" w:sz="4" w:space="0" w:color="auto"/>
              <w:left w:val="single" w:sz="4" w:space="0" w:color="auto"/>
              <w:bottom w:val="nil"/>
              <w:right w:val="single" w:sz="4" w:space="0" w:color="auto"/>
            </w:tcBorders>
            <w:shd w:val="clear" w:color="auto" w:fill="FFFFFF" w:themeFill="background1"/>
            <w:hideMark/>
          </w:tcPr>
          <w:p w:rsidR="00001895" w:rsidRPr="00411A95" w:rsidRDefault="00001895" w:rsidP="007C5451">
            <w:pPr>
              <w:spacing w:after="0"/>
              <w:rPr>
                <w:sz w:val="20"/>
                <w:szCs w:val="20"/>
                <w:lang w:val="fr-FR"/>
              </w:rPr>
            </w:pPr>
          </w:p>
        </w:tc>
      </w:tr>
      <w:tr w:rsidR="00001895" w:rsidRPr="00411A95" w:rsidTr="007C5451">
        <w:tc>
          <w:tcPr>
            <w:tcW w:w="2303" w:type="dxa"/>
            <w:tcBorders>
              <w:top w:val="nil"/>
              <w:left w:val="single" w:sz="4" w:space="0" w:color="auto"/>
              <w:bottom w:val="single" w:sz="4" w:space="0" w:color="auto"/>
              <w:right w:val="single" w:sz="4" w:space="0" w:color="auto"/>
            </w:tcBorders>
            <w:shd w:val="clear" w:color="auto" w:fill="DBE5F1" w:themeFill="accent1" w:themeFillTint="33"/>
            <w:hideMark/>
          </w:tcPr>
          <w:p w:rsidR="00001895" w:rsidRPr="005C1189" w:rsidRDefault="00001895" w:rsidP="007C5451">
            <w:pPr>
              <w:tabs>
                <w:tab w:val="left" w:pos="3960"/>
              </w:tabs>
              <w:spacing w:after="120" w:line="240" w:lineRule="auto"/>
              <w:rPr>
                <w:rFonts w:ascii="Calibri" w:eastAsia="Calibri" w:hAnsi="Calibri" w:cs="Calibri"/>
                <w:b/>
                <w:bCs/>
                <w:sz w:val="20"/>
                <w:szCs w:val="20"/>
                <w:lang w:val="en-US" w:eastAsia="fr-FR"/>
              </w:rPr>
            </w:pPr>
            <w:proofErr w:type="spellStart"/>
            <w:r w:rsidRPr="005C1189">
              <w:rPr>
                <w:rFonts w:ascii="Calibri" w:eastAsia="Calibri" w:hAnsi="Calibri" w:cs="Calibri"/>
                <w:b/>
                <w:bCs/>
                <w:sz w:val="20"/>
                <w:szCs w:val="20"/>
                <w:lang w:val="en-US" w:eastAsia="fr-FR"/>
              </w:rPr>
              <w:t>Temporalité</w:t>
            </w:r>
            <w:proofErr w:type="spellEnd"/>
          </w:p>
        </w:tc>
        <w:tc>
          <w:tcPr>
            <w:tcW w:w="6877" w:type="dxa"/>
            <w:tcBorders>
              <w:top w:val="nil"/>
              <w:left w:val="single" w:sz="4" w:space="0" w:color="auto"/>
              <w:bottom w:val="single" w:sz="4" w:space="0" w:color="auto"/>
              <w:right w:val="single" w:sz="4" w:space="0" w:color="auto"/>
            </w:tcBorders>
            <w:shd w:val="clear" w:color="auto" w:fill="FFFFFF" w:themeFill="background1"/>
            <w:hideMark/>
          </w:tcPr>
          <w:p w:rsidR="00001895" w:rsidRPr="00411A95" w:rsidRDefault="00235BBE" w:rsidP="00235BBE">
            <w:pPr>
              <w:spacing w:after="0"/>
              <w:rPr>
                <w:sz w:val="20"/>
                <w:szCs w:val="20"/>
                <w:lang w:val="fr-FR"/>
              </w:rPr>
            </w:pPr>
            <w:r w:rsidRPr="00411A95">
              <w:rPr>
                <w:sz w:val="20"/>
                <w:szCs w:val="20"/>
              </w:rPr>
              <w:t xml:space="preserve">La collecte des données est effectuée à une </w:t>
            </w:r>
            <w:r w:rsidRPr="00411A95">
              <w:rPr>
                <w:b/>
                <w:sz w:val="20"/>
                <w:szCs w:val="20"/>
              </w:rPr>
              <w:t xml:space="preserve">fréquence libre selon les capacités de chaque délégation </w:t>
            </w:r>
            <w:r w:rsidRPr="00411A95">
              <w:rPr>
                <w:sz w:val="20"/>
                <w:szCs w:val="20"/>
              </w:rPr>
              <w:t xml:space="preserve">en prenant soin que les inputs techniques qui sont faits sur une période à cheval entre deux périodes de </w:t>
            </w:r>
            <w:proofErr w:type="spellStart"/>
            <w:r w:rsidRPr="00411A95">
              <w:rPr>
                <w:sz w:val="20"/>
                <w:szCs w:val="20"/>
              </w:rPr>
              <w:t>reporting</w:t>
            </w:r>
            <w:proofErr w:type="spellEnd"/>
            <w:r w:rsidRPr="00411A95">
              <w:rPr>
                <w:sz w:val="20"/>
                <w:szCs w:val="20"/>
              </w:rPr>
              <w:t xml:space="preserve"> ne soient pas comptabilisés en double.</w:t>
            </w:r>
            <w:r w:rsidRPr="00411A95">
              <w:rPr>
                <w:b/>
                <w:sz w:val="20"/>
                <w:szCs w:val="20"/>
              </w:rPr>
              <w:t xml:space="preserve"> Le </w:t>
            </w:r>
            <w:proofErr w:type="spellStart"/>
            <w:r w:rsidRPr="00411A95">
              <w:rPr>
                <w:b/>
                <w:sz w:val="20"/>
                <w:szCs w:val="20"/>
              </w:rPr>
              <w:t>reporting</w:t>
            </w:r>
            <w:proofErr w:type="spellEnd"/>
            <w:r w:rsidRPr="00411A95">
              <w:rPr>
                <w:b/>
                <w:sz w:val="20"/>
                <w:szCs w:val="20"/>
              </w:rPr>
              <w:t xml:space="preserve"> est effectué de façon semestrielle.</w:t>
            </w:r>
          </w:p>
        </w:tc>
      </w:tr>
      <w:tr w:rsidR="00AC1962"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C1962" w:rsidRPr="005C1189" w:rsidRDefault="00AC1962" w:rsidP="007C5451">
            <w:pPr>
              <w:tabs>
                <w:tab w:val="left" w:pos="3960"/>
              </w:tabs>
              <w:spacing w:after="120" w:line="240" w:lineRule="auto"/>
              <w:rPr>
                <w:rFonts w:ascii="Calibri" w:eastAsia="Calibri" w:hAnsi="Calibri" w:cs="Calibri"/>
                <w:b/>
                <w:bCs/>
                <w:sz w:val="20"/>
                <w:szCs w:val="20"/>
                <w:lang w:val="en-US" w:eastAsia="fr-FR"/>
              </w:rPr>
            </w:pPr>
            <w:proofErr w:type="spellStart"/>
            <w:r w:rsidRPr="005C1189">
              <w:rPr>
                <w:rFonts w:ascii="Calibri" w:eastAsia="Calibri" w:hAnsi="Calibri" w:cs="Calibri"/>
                <w:b/>
                <w:bCs/>
                <w:sz w:val="20"/>
                <w:szCs w:val="20"/>
                <w:lang w:val="en-US" w:eastAsia="fr-FR"/>
              </w:rPr>
              <w:t>Rôles</w:t>
            </w:r>
            <w:proofErr w:type="spellEnd"/>
            <w:r w:rsidRPr="005C1189">
              <w:rPr>
                <w:rFonts w:ascii="Calibri" w:eastAsia="Calibri" w:hAnsi="Calibri" w:cs="Calibri"/>
                <w:b/>
                <w:bCs/>
                <w:sz w:val="20"/>
                <w:szCs w:val="20"/>
                <w:lang w:val="en-US" w:eastAsia="fr-FR"/>
              </w:rPr>
              <w:t xml:space="preserve"> et </w:t>
            </w:r>
            <w:proofErr w:type="spellStart"/>
            <w:r w:rsidRPr="005C1189">
              <w:rPr>
                <w:rFonts w:ascii="Calibri" w:eastAsia="Calibri" w:hAnsi="Calibri" w:cs="Calibri"/>
                <w:b/>
                <w:bCs/>
                <w:sz w:val="20"/>
                <w:szCs w:val="20"/>
                <w:lang w:val="en-US" w:eastAsia="fr-FR"/>
              </w:rPr>
              <w:t>responsabilités</w:t>
            </w:r>
            <w:proofErr w:type="spellEnd"/>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AC1962" w:rsidRPr="00411A95" w:rsidRDefault="00AC1962" w:rsidP="00AC1962">
            <w:pPr>
              <w:spacing w:after="120" w:line="240" w:lineRule="auto"/>
              <w:contextualSpacing/>
              <w:jc w:val="both"/>
              <w:rPr>
                <w:sz w:val="20"/>
                <w:szCs w:val="20"/>
              </w:rPr>
            </w:pPr>
            <w:r w:rsidRPr="00411A95">
              <w:rPr>
                <w:sz w:val="20"/>
                <w:szCs w:val="20"/>
              </w:rPr>
              <w:t xml:space="preserve">Les rôles et responsabilités sont établis dès le début de période de </w:t>
            </w:r>
            <w:proofErr w:type="spellStart"/>
            <w:r w:rsidRPr="00411A95">
              <w:rPr>
                <w:sz w:val="20"/>
                <w:szCs w:val="20"/>
              </w:rPr>
              <w:t>reporting</w:t>
            </w:r>
            <w:proofErr w:type="spellEnd"/>
            <w:r w:rsidRPr="00411A95">
              <w:rPr>
                <w:sz w:val="20"/>
                <w:szCs w:val="20"/>
              </w:rPr>
              <w:t>. La consolidation des données pour chaque délégation est sous la responsabilité du chef de projet ou coordinateur de projet en justice (ou protection), qui peut déléguer la collecte aux équipes terrain (responsable M&amp;E, travailleurs sociaux, juriste, etc.). L’information est envoyée avec des commentaires</w:t>
            </w:r>
            <w:r w:rsidR="00EA70D3" w:rsidRPr="00411A95">
              <w:rPr>
                <w:sz w:val="20"/>
                <w:szCs w:val="20"/>
              </w:rPr>
              <w:t xml:space="preserve"> (analyse qualitative)</w:t>
            </w:r>
            <w:r w:rsidRPr="00411A95">
              <w:rPr>
                <w:sz w:val="20"/>
                <w:szCs w:val="20"/>
              </w:rPr>
              <w:t xml:space="preserve"> au chef de délégation qui la transmet au coordinateur justice au niveau régional qui consolide les informations et les envoie au siège.</w:t>
            </w: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001895" w:rsidRPr="00411A95" w:rsidRDefault="00001895" w:rsidP="007C5451">
            <w:pPr>
              <w:tabs>
                <w:tab w:val="left" w:pos="3960"/>
              </w:tabs>
              <w:spacing w:after="120" w:line="240" w:lineRule="auto"/>
              <w:rPr>
                <w:rFonts w:ascii="Calibri" w:eastAsia="Calibri" w:hAnsi="Calibri" w:cs="Calibri"/>
                <w:b/>
                <w:bCs/>
                <w:sz w:val="20"/>
                <w:szCs w:val="20"/>
                <w:lang w:eastAsia="fr-FR"/>
              </w:rPr>
            </w:pPr>
            <w:r w:rsidRPr="005C1189">
              <w:rPr>
                <w:rFonts w:ascii="Calibri" w:eastAsia="Calibri" w:hAnsi="Calibri" w:cs="Calibri"/>
                <w:b/>
                <w:bCs/>
                <w:sz w:val="20"/>
                <w:szCs w:val="20"/>
                <w:lang w:eastAsia="fr-FR"/>
              </w:rPr>
              <w:t>Enjeux liés à la qualité préconisés</w:t>
            </w:r>
          </w:p>
          <w:p w:rsidR="00001895" w:rsidRPr="00411A95" w:rsidRDefault="00001895" w:rsidP="007C5451">
            <w:pPr>
              <w:tabs>
                <w:tab w:val="left" w:pos="3960"/>
              </w:tabs>
              <w:spacing w:after="120" w:line="240" w:lineRule="auto"/>
              <w:rPr>
                <w:rFonts w:ascii="Calibri" w:eastAsia="Calibri" w:hAnsi="Calibri" w:cs="Calibri"/>
                <w:b/>
                <w:bCs/>
                <w:sz w:val="20"/>
                <w:szCs w:val="20"/>
                <w:lang w:eastAsia="fr-FR"/>
              </w:rPr>
            </w:pP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62C7" w:rsidRPr="00411A95" w:rsidRDefault="00152608" w:rsidP="007C5451">
            <w:pPr>
              <w:spacing w:after="0"/>
              <w:rPr>
                <w:sz w:val="20"/>
                <w:szCs w:val="20"/>
                <w:lang w:val="fr-FR"/>
              </w:rPr>
            </w:pPr>
            <w:r w:rsidRPr="00411A95">
              <w:rPr>
                <w:sz w:val="20"/>
                <w:szCs w:val="20"/>
                <w:lang w:val="fr-FR"/>
              </w:rPr>
              <w:t xml:space="preserve">L’enjeu principal autour de cet </w:t>
            </w:r>
            <w:r w:rsidR="00741E96" w:rsidRPr="00411A95">
              <w:rPr>
                <w:sz w:val="20"/>
                <w:szCs w:val="20"/>
                <w:lang w:val="fr-FR"/>
              </w:rPr>
              <w:t xml:space="preserve">indicateur est </w:t>
            </w:r>
            <w:r w:rsidR="008B0526" w:rsidRPr="00411A95">
              <w:rPr>
                <w:sz w:val="20"/>
                <w:szCs w:val="20"/>
                <w:lang w:val="fr-FR"/>
              </w:rPr>
              <w:t xml:space="preserve">lié à notre </w:t>
            </w:r>
            <w:r w:rsidR="00741E96" w:rsidRPr="00411A95">
              <w:rPr>
                <w:sz w:val="20"/>
                <w:szCs w:val="20"/>
                <w:lang w:val="fr-FR"/>
              </w:rPr>
              <w:t>capacité à démontrer que les changements proposés auront un impact</w:t>
            </w:r>
            <w:r w:rsidR="005A5EBD" w:rsidRPr="00411A95">
              <w:rPr>
                <w:sz w:val="20"/>
                <w:szCs w:val="20"/>
                <w:lang w:val="fr-FR"/>
              </w:rPr>
              <w:t xml:space="preserve"> positif</w:t>
            </w:r>
            <w:r w:rsidR="00741E96" w:rsidRPr="00411A95">
              <w:rPr>
                <w:sz w:val="20"/>
                <w:szCs w:val="20"/>
                <w:lang w:val="fr-FR"/>
              </w:rPr>
              <w:t xml:space="preserve"> réel dans le traitement des </w:t>
            </w:r>
            <w:r w:rsidR="005A5EBD" w:rsidRPr="00411A95">
              <w:rPr>
                <w:sz w:val="20"/>
                <w:szCs w:val="20"/>
                <w:lang w:val="fr-FR"/>
              </w:rPr>
              <w:t xml:space="preserve">cas impliquant les </w:t>
            </w:r>
            <w:r w:rsidR="00741E96" w:rsidRPr="00411A95">
              <w:rPr>
                <w:sz w:val="20"/>
                <w:szCs w:val="20"/>
                <w:lang w:val="fr-FR"/>
              </w:rPr>
              <w:t xml:space="preserve">enfants en </w:t>
            </w:r>
            <w:r w:rsidR="002759E7" w:rsidRPr="00411A95">
              <w:rPr>
                <w:sz w:val="20"/>
                <w:szCs w:val="20"/>
                <w:lang w:val="fr-FR"/>
              </w:rPr>
              <w:t>contact avec</w:t>
            </w:r>
            <w:r w:rsidR="00741E96" w:rsidRPr="00411A95">
              <w:rPr>
                <w:sz w:val="20"/>
                <w:szCs w:val="20"/>
                <w:lang w:val="fr-FR"/>
              </w:rPr>
              <w:t xml:space="preserve"> la loi. </w:t>
            </w:r>
          </w:p>
          <w:p w:rsidR="006201E1" w:rsidRPr="00411A95" w:rsidRDefault="006201E1" w:rsidP="007C5451">
            <w:pPr>
              <w:spacing w:after="0"/>
              <w:rPr>
                <w:sz w:val="20"/>
                <w:szCs w:val="20"/>
                <w:lang w:val="fr-FR"/>
              </w:rPr>
            </w:pPr>
            <w:r w:rsidRPr="00411A95">
              <w:rPr>
                <w:sz w:val="20"/>
                <w:szCs w:val="20"/>
                <w:lang w:val="fr-FR"/>
              </w:rPr>
              <w:t>La question de l</w:t>
            </w:r>
            <w:r w:rsidR="005A5EBD" w:rsidRPr="00411A95">
              <w:rPr>
                <w:sz w:val="20"/>
                <w:szCs w:val="20"/>
                <w:lang w:val="fr-FR"/>
              </w:rPr>
              <w:t xml:space="preserve">a contribution </w:t>
            </w:r>
            <w:r w:rsidRPr="00411A95">
              <w:rPr>
                <w:sz w:val="20"/>
                <w:szCs w:val="20"/>
                <w:lang w:val="fr-FR"/>
              </w:rPr>
              <w:t xml:space="preserve">de Tdh </w:t>
            </w:r>
            <w:r w:rsidR="002759E7" w:rsidRPr="00411A95">
              <w:rPr>
                <w:sz w:val="20"/>
                <w:szCs w:val="20"/>
                <w:lang w:val="fr-FR"/>
              </w:rPr>
              <w:t>au le</w:t>
            </w:r>
            <w:r w:rsidRPr="00411A95">
              <w:rPr>
                <w:sz w:val="20"/>
                <w:szCs w:val="20"/>
                <w:lang w:val="fr-FR"/>
              </w:rPr>
              <w:t xml:space="preserve"> changement concerné pose </w:t>
            </w:r>
            <w:r w:rsidRPr="00411A95">
              <w:rPr>
                <w:sz w:val="20"/>
                <w:szCs w:val="20"/>
                <w:lang w:val="fr-FR"/>
              </w:rPr>
              <w:lastRenderedPageBreak/>
              <w:t>également question lorsque d’autres acteurs sont partie prenante.</w:t>
            </w:r>
            <w:r w:rsidR="005A5EBD" w:rsidRPr="00411A95">
              <w:rPr>
                <w:sz w:val="20"/>
                <w:szCs w:val="20"/>
                <w:lang w:val="fr-FR"/>
              </w:rPr>
              <w:t xml:space="preserve">  C’est pourquoi, une analyse du contexte et des dynamiques institutionnelles, du rôle des acteurs impliqués dans le travail socio-politico-légal et de la contribution de Tdh est importante afin de refléter la contribution des équipes de projet JJ dans ces changements.</w:t>
            </w:r>
          </w:p>
          <w:p w:rsidR="005A5EBD" w:rsidRPr="00411A95" w:rsidRDefault="005A5EBD" w:rsidP="007C5451">
            <w:pPr>
              <w:spacing w:after="0"/>
              <w:rPr>
                <w:sz w:val="20"/>
                <w:szCs w:val="20"/>
                <w:lang w:val="fr-FR"/>
              </w:rPr>
            </w:pPr>
          </w:p>
          <w:p w:rsidR="006201E1" w:rsidRPr="00411A95" w:rsidRDefault="006201E1" w:rsidP="007C5451">
            <w:pPr>
              <w:spacing w:after="0"/>
              <w:rPr>
                <w:sz w:val="20"/>
                <w:szCs w:val="20"/>
                <w:lang w:val="fr-FR"/>
              </w:rPr>
            </w:pPr>
            <w:r w:rsidRPr="00411A95">
              <w:rPr>
                <w:sz w:val="20"/>
                <w:szCs w:val="20"/>
                <w:lang w:val="fr-FR"/>
              </w:rPr>
              <w:t>Enfin, il est essentiel de s’assurer dans les détails que les changements proposés sont validés par le gouvernement et de documenter les propositions formulées qui ne sont pas retenues, afin d’analyser les raisons qui ont pouss</w:t>
            </w:r>
            <w:r w:rsidR="005A5EBD" w:rsidRPr="00411A95">
              <w:rPr>
                <w:sz w:val="20"/>
                <w:szCs w:val="20"/>
                <w:lang w:val="fr-FR"/>
              </w:rPr>
              <w:t>é</w:t>
            </w:r>
            <w:r w:rsidRPr="00411A95">
              <w:rPr>
                <w:sz w:val="20"/>
                <w:szCs w:val="20"/>
                <w:lang w:val="fr-FR"/>
              </w:rPr>
              <w:t xml:space="preserve"> le gouvernement à accepter ou refuser des modifications, à des fins d’apprentissage institutionnel</w:t>
            </w:r>
            <w:r w:rsidR="005A5EBD" w:rsidRPr="00411A95">
              <w:rPr>
                <w:sz w:val="20"/>
                <w:szCs w:val="20"/>
                <w:lang w:val="fr-FR"/>
              </w:rPr>
              <w:t xml:space="preserve"> pour adapter la stratégie de plaidoyer / renforcement institutionnel.</w:t>
            </w:r>
          </w:p>
          <w:p w:rsidR="00001895" w:rsidRPr="00411A95" w:rsidRDefault="00001895" w:rsidP="00B41581">
            <w:pPr>
              <w:spacing w:after="0"/>
              <w:rPr>
                <w:sz w:val="20"/>
                <w:szCs w:val="20"/>
                <w:lang w:val="fr-FR"/>
              </w:rPr>
            </w:pP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01895" w:rsidRPr="005C1189" w:rsidRDefault="00001895" w:rsidP="007C5451">
            <w:pPr>
              <w:tabs>
                <w:tab w:val="left" w:pos="3960"/>
              </w:tabs>
              <w:spacing w:after="120" w:line="240" w:lineRule="auto"/>
              <w:rPr>
                <w:rFonts w:ascii="Calibri" w:eastAsia="Calibri" w:hAnsi="Calibri" w:cs="Calibri"/>
                <w:b/>
                <w:bCs/>
                <w:sz w:val="20"/>
                <w:szCs w:val="20"/>
                <w:lang w:val="en-US" w:eastAsia="fr-FR"/>
              </w:rPr>
            </w:pPr>
            <w:r w:rsidRPr="005C1189">
              <w:rPr>
                <w:rFonts w:ascii="Calibri" w:eastAsia="Calibri" w:hAnsi="Calibri" w:cs="Calibri"/>
                <w:b/>
                <w:bCs/>
                <w:sz w:val="20"/>
                <w:szCs w:val="20"/>
                <w:lang w:val="en-US" w:eastAsia="fr-FR"/>
              </w:rPr>
              <w:lastRenderedPageBreak/>
              <w:t xml:space="preserve">Plan </w:t>
            </w:r>
            <w:proofErr w:type="spellStart"/>
            <w:r w:rsidRPr="005C1189">
              <w:rPr>
                <w:rFonts w:ascii="Calibri" w:eastAsia="Calibri" w:hAnsi="Calibri" w:cs="Calibri"/>
                <w:b/>
                <w:bCs/>
                <w:sz w:val="20"/>
                <w:szCs w:val="20"/>
                <w:lang w:val="en-US" w:eastAsia="fr-FR"/>
              </w:rPr>
              <w:t>d’analyse</w:t>
            </w:r>
            <w:proofErr w:type="spellEnd"/>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3C30E8" w:rsidRDefault="003C30E8">
            <w:pPr>
              <w:spacing w:after="0"/>
              <w:rPr>
                <w:sz w:val="20"/>
                <w:szCs w:val="20"/>
                <w:lang w:val="fr-FR"/>
              </w:rPr>
            </w:pPr>
            <w:r>
              <w:rPr>
                <w:sz w:val="20"/>
                <w:szCs w:val="20"/>
                <w:lang w:val="fr-FR"/>
              </w:rPr>
              <w:t>Par type de / niveau de changement (politique, législation, procédure)</w:t>
            </w:r>
          </w:p>
          <w:p w:rsidR="003C30E8" w:rsidRDefault="003C30E8">
            <w:pPr>
              <w:spacing w:after="0"/>
              <w:rPr>
                <w:sz w:val="20"/>
                <w:szCs w:val="20"/>
                <w:lang w:val="fr-FR"/>
              </w:rPr>
            </w:pPr>
          </w:p>
          <w:p w:rsidR="0057239F" w:rsidRDefault="003C30E8">
            <w:pPr>
              <w:spacing w:after="0"/>
              <w:rPr>
                <w:sz w:val="20"/>
                <w:szCs w:val="20"/>
                <w:lang w:val="fr-FR"/>
              </w:rPr>
            </w:pPr>
            <w:r>
              <w:rPr>
                <w:sz w:val="20"/>
                <w:szCs w:val="20"/>
                <w:lang w:val="fr-FR"/>
              </w:rPr>
              <w:t>Dans les rapports narratifs, l</w:t>
            </w:r>
            <w:r w:rsidR="0057239F" w:rsidRPr="00411A95">
              <w:rPr>
                <w:sz w:val="20"/>
                <w:szCs w:val="20"/>
                <w:lang w:val="fr-FR"/>
              </w:rPr>
              <w:t>’analyse qualitative du changement devra faire apparaître une réflexion sur les conséquences probables des changements réalisés par Tdh</w:t>
            </w:r>
            <w:r w:rsidR="005A5EBD" w:rsidRPr="00411A95">
              <w:rPr>
                <w:sz w:val="20"/>
                <w:szCs w:val="20"/>
                <w:lang w:val="fr-FR"/>
              </w:rPr>
              <w:t>.</w:t>
            </w:r>
          </w:p>
          <w:p w:rsidR="003C30E8" w:rsidRDefault="003C30E8">
            <w:pPr>
              <w:spacing w:after="0"/>
              <w:rPr>
                <w:sz w:val="20"/>
                <w:szCs w:val="20"/>
                <w:lang w:val="fr-FR"/>
              </w:rPr>
            </w:pPr>
          </w:p>
          <w:p w:rsidR="003C30E8" w:rsidRPr="00411A95" w:rsidRDefault="003C30E8" w:rsidP="003C30E8">
            <w:pPr>
              <w:spacing w:after="0"/>
              <w:rPr>
                <w:sz w:val="20"/>
                <w:szCs w:val="20"/>
                <w:lang w:val="fr-FR"/>
              </w:rPr>
            </w:pPr>
            <w:r>
              <w:rPr>
                <w:sz w:val="20"/>
                <w:szCs w:val="20"/>
                <w:lang w:val="fr-FR"/>
              </w:rPr>
              <w:t xml:space="preserve">Considérant les limites de l’indicateur exposées plus haut, </w:t>
            </w:r>
            <w:bookmarkStart w:id="0" w:name="_GoBack"/>
            <w:bookmarkEnd w:id="0"/>
            <w:r w:rsidR="00181CE8">
              <w:rPr>
                <w:sz w:val="20"/>
                <w:szCs w:val="20"/>
                <w:lang w:val="fr-FR"/>
              </w:rPr>
              <w:t>l</w:t>
            </w:r>
            <w:r w:rsidR="00181CE8" w:rsidRPr="00411A95">
              <w:rPr>
                <w:sz w:val="20"/>
                <w:szCs w:val="20"/>
                <w:lang w:val="fr-FR"/>
              </w:rPr>
              <w:t>a dimension</w:t>
            </w:r>
            <w:r w:rsidRPr="00411A95">
              <w:rPr>
                <w:sz w:val="20"/>
                <w:szCs w:val="20"/>
                <w:lang w:val="fr-FR"/>
              </w:rPr>
              <w:t xml:space="preserve"> analytique / qualitative est importante à explorer dans limites et plan d’analyse.  </w:t>
            </w:r>
          </w:p>
          <w:p w:rsidR="003C30E8" w:rsidRPr="00411A95" w:rsidRDefault="003C30E8" w:rsidP="003C30E8">
            <w:pPr>
              <w:spacing w:after="0"/>
              <w:rPr>
                <w:sz w:val="20"/>
                <w:szCs w:val="20"/>
                <w:lang w:val="fr-FR"/>
              </w:rPr>
            </w:pPr>
            <w:r w:rsidRPr="00411A95">
              <w:rPr>
                <w:sz w:val="20"/>
                <w:szCs w:val="20"/>
                <w:lang w:val="fr-FR"/>
              </w:rPr>
              <w:t>On veut savoir :</w:t>
            </w:r>
          </w:p>
          <w:p w:rsidR="003C30E8" w:rsidRPr="00411A95" w:rsidRDefault="003C30E8" w:rsidP="003C30E8">
            <w:pPr>
              <w:pStyle w:val="Paragraphedeliste"/>
              <w:numPr>
                <w:ilvl w:val="0"/>
                <w:numId w:val="2"/>
              </w:numPr>
              <w:spacing w:after="0"/>
              <w:rPr>
                <w:sz w:val="20"/>
                <w:szCs w:val="20"/>
                <w:lang w:val="fr-FR"/>
              </w:rPr>
            </w:pPr>
            <w:r w:rsidRPr="00411A95">
              <w:rPr>
                <w:sz w:val="20"/>
                <w:szCs w:val="20"/>
                <w:lang w:val="fr-FR"/>
              </w:rPr>
              <w:t>La nature du changement,</w:t>
            </w:r>
          </w:p>
          <w:p w:rsidR="003C30E8" w:rsidRDefault="003C30E8" w:rsidP="003C30E8">
            <w:pPr>
              <w:pStyle w:val="Paragraphedeliste"/>
              <w:numPr>
                <w:ilvl w:val="0"/>
                <w:numId w:val="2"/>
              </w:numPr>
              <w:spacing w:after="0"/>
              <w:rPr>
                <w:sz w:val="20"/>
                <w:szCs w:val="20"/>
                <w:lang w:val="fr-FR"/>
              </w:rPr>
            </w:pPr>
            <w:r w:rsidRPr="00411A95">
              <w:rPr>
                <w:sz w:val="20"/>
                <w:szCs w:val="20"/>
                <w:lang w:val="fr-FR"/>
              </w:rPr>
              <w:t>La nature de l’appui Tdh,</w:t>
            </w:r>
          </w:p>
          <w:p w:rsidR="003C30E8" w:rsidRPr="003C30E8" w:rsidRDefault="003C30E8" w:rsidP="003C30E8">
            <w:pPr>
              <w:pStyle w:val="Paragraphedeliste"/>
              <w:numPr>
                <w:ilvl w:val="0"/>
                <w:numId w:val="2"/>
              </w:numPr>
              <w:spacing w:after="0"/>
              <w:rPr>
                <w:sz w:val="20"/>
                <w:szCs w:val="20"/>
                <w:lang w:val="fr-FR"/>
              </w:rPr>
            </w:pPr>
            <w:r w:rsidRPr="003C30E8">
              <w:rPr>
                <w:sz w:val="20"/>
                <w:szCs w:val="20"/>
                <w:lang w:val="fr-FR"/>
              </w:rPr>
              <w:t>En quoi le changement répond aux standards internationaux des droits de l’enfant et à l’approche JJR</w:t>
            </w:r>
          </w:p>
        </w:tc>
      </w:tr>
      <w:tr w:rsidR="00001895" w:rsidRPr="00411A95" w:rsidTr="007C5451">
        <w:tc>
          <w:tcPr>
            <w:tcW w:w="23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01895" w:rsidRPr="005C1189" w:rsidRDefault="00001895" w:rsidP="007C5451">
            <w:pPr>
              <w:tabs>
                <w:tab w:val="left" w:pos="3960"/>
              </w:tabs>
              <w:spacing w:after="120" w:line="240" w:lineRule="auto"/>
              <w:rPr>
                <w:rFonts w:ascii="Calibri" w:eastAsia="Calibri" w:hAnsi="Calibri" w:cs="Calibri"/>
                <w:b/>
                <w:bCs/>
                <w:sz w:val="20"/>
                <w:szCs w:val="20"/>
                <w:lang w:val="en-US" w:eastAsia="fr-FR"/>
              </w:rPr>
            </w:pPr>
            <w:r w:rsidRPr="005C1189">
              <w:rPr>
                <w:rFonts w:ascii="Calibri" w:eastAsia="Calibri" w:hAnsi="Calibri" w:cs="Calibri"/>
                <w:b/>
                <w:bCs/>
                <w:sz w:val="20"/>
                <w:szCs w:val="20"/>
                <w:lang w:val="en-US" w:eastAsia="fr-FR"/>
              </w:rPr>
              <w:t xml:space="preserve">Resources  </w:t>
            </w:r>
          </w:p>
        </w:tc>
        <w:tc>
          <w:tcPr>
            <w:tcW w:w="6877" w:type="dxa"/>
            <w:tcBorders>
              <w:top w:val="single" w:sz="4" w:space="0" w:color="auto"/>
              <w:left w:val="single" w:sz="4" w:space="0" w:color="auto"/>
              <w:bottom w:val="single" w:sz="4" w:space="0" w:color="auto"/>
              <w:right w:val="single" w:sz="4" w:space="0" w:color="auto"/>
            </w:tcBorders>
            <w:shd w:val="clear" w:color="auto" w:fill="FFFFFF" w:themeFill="background1"/>
          </w:tcPr>
          <w:p w:rsidR="00001895" w:rsidRPr="00411A95" w:rsidRDefault="00FA236E" w:rsidP="007C5451">
            <w:pPr>
              <w:spacing w:after="0"/>
              <w:rPr>
                <w:sz w:val="20"/>
                <w:szCs w:val="20"/>
                <w:lang w:val="fr-FR"/>
              </w:rPr>
            </w:pPr>
            <w:r w:rsidRPr="00411A95">
              <w:rPr>
                <w:sz w:val="20"/>
                <w:szCs w:val="20"/>
                <w:lang w:val="fr-FR"/>
              </w:rPr>
              <w:t xml:space="preserve">1-2 jours de </w:t>
            </w:r>
            <w:proofErr w:type="spellStart"/>
            <w:r w:rsidRPr="00411A95">
              <w:rPr>
                <w:sz w:val="20"/>
                <w:szCs w:val="20"/>
                <w:lang w:val="fr-FR"/>
              </w:rPr>
              <w:t>reporting</w:t>
            </w:r>
            <w:proofErr w:type="spellEnd"/>
            <w:r w:rsidRPr="00411A95">
              <w:rPr>
                <w:sz w:val="20"/>
                <w:szCs w:val="20"/>
                <w:lang w:val="fr-FR"/>
              </w:rPr>
              <w:t xml:space="preserve"> doivent être considérés pour l’analyse qualitative des politiques, lois et procédures qui ont </w:t>
            </w:r>
            <w:r w:rsidR="00E404EF" w:rsidRPr="00411A95">
              <w:rPr>
                <w:sz w:val="20"/>
                <w:szCs w:val="20"/>
                <w:lang w:val="fr-FR"/>
              </w:rPr>
              <w:t>été validées par les autorités compétentes avec l’appui de Tdh.</w:t>
            </w:r>
          </w:p>
          <w:p w:rsidR="00FA236E" w:rsidRPr="00411A95" w:rsidRDefault="00FA236E" w:rsidP="007C5451">
            <w:pPr>
              <w:spacing w:after="0"/>
              <w:rPr>
                <w:sz w:val="20"/>
                <w:szCs w:val="20"/>
                <w:lang w:val="fr-FR"/>
              </w:rPr>
            </w:pPr>
          </w:p>
        </w:tc>
      </w:tr>
    </w:tbl>
    <w:p w:rsidR="0030695D" w:rsidRDefault="0030695D"/>
    <w:p w:rsidR="00001895" w:rsidRDefault="00001895"/>
    <w:p w:rsidR="00001895" w:rsidRDefault="00001895"/>
    <w:sectPr w:rsidR="0000189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079" w:rsidRDefault="00BF7079" w:rsidP="00001895">
      <w:pPr>
        <w:spacing w:after="0" w:line="240" w:lineRule="auto"/>
      </w:pPr>
      <w:r>
        <w:separator/>
      </w:r>
    </w:p>
  </w:endnote>
  <w:endnote w:type="continuationSeparator" w:id="0">
    <w:p w:rsidR="00BF7079" w:rsidRDefault="00BF7079" w:rsidP="0000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38239"/>
      <w:docPartObj>
        <w:docPartGallery w:val="Page Numbers (Bottom of Page)"/>
        <w:docPartUnique/>
      </w:docPartObj>
    </w:sdtPr>
    <w:sdtEndPr>
      <w:rPr>
        <w:noProof/>
      </w:rPr>
    </w:sdtEndPr>
    <w:sdtContent>
      <w:p w:rsidR="00B91E28" w:rsidRDefault="00B91E28" w:rsidP="00B91E28">
        <w:pPr>
          <w:pStyle w:val="Pieddepage"/>
          <w:pBdr>
            <w:top w:val="single" w:sz="4" w:space="13" w:color="auto"/>
          </w:pBdr>
          <w:jc w:val="right"/>
        </w:pPr>
        <w:r>
          <w:fldChar w:fldCharType="begin"/>
        </w:r>
        <w:r>
          <w:instrText xml:space="preserve"> PAGE   \* MERGEFORMAT </w:instrText>
        </w:r>
        <w:r>
          <w:fldChar w:fldCharType="separate"/>
        </w:r>
        <w:r w:rsidR="00181CE8">
          <w:rPr>
            <w:noProof/>
          </w:rPr>
          <w:t>3</w:t>
        </w:r>
        <w:r>
          <w:rPr>
            <w:noProof/>
          </w:rPr>
          <w:fldChar w:fldCharType="end"/>
        </w:r>
        <w:r>
          <w:rPr>
            <w:noProof/>
          </w:rPr>
          <w:t xml:space="preserve"> / </w:t>
        </w:r>
        <w:r>
          <w:rPr>
            <w:noProof/>
          </w:rPr>
          <w:fldChar w:fldCharType="begin"/>
        </w:r>
        <w:r>
          <w:rPr>
            <w:noProof/>
          </w:rPr>
          <w:instrText xml:space="preserve"> SECTIONPAGES   \* MERGEFORMAT </w:instrText>
        </w:r>
        <w:r>
          <w:rPr>
            <w:noProof/>
          </w:rPr>
          <w:fldChar w:fldCharType="separate"/>
        </w:r>
        <w:r w:rsidR="00181CE8">
          <w:rPr>
            <w:noProof/>
          </w:rPr>
          <w:t>3</w:t>
        </w:r>
        <w:r>
          <w:rPr>
            <w:noProof/>
          </w:rPr>
          <w:fldChar w:fldCharType="end"/>
        </w:r>
      </w:p>
    </w:sdtContent>
  </w:sdt>
  <w:p w:rsidR="00B91E28" w:rsidRDefault="00B91E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079" w:rsidRDefault="00BF7079" w:rsidP="00001895">
      <w:pPr>
        <w:spacing w:after="0" w:line="240" w:lineRule="auto"/>
      </w:pPr>
      <w:r>
        <w:separator/>
      </w:r>
    </w:p>
  </w:footnote>
  <w:footnote w:type="continuationSeparator" w:id="0">
    <w:p w:rsidR="00BF7079" w:rsidRDefault="00BF7079" w:rsidP="00001895">
      <w:pPr>
        <w:spacing w:after="0" w:line="240" w:lineRule="auto"/>
      </w:pPr>
      <w:r>
        <w:continuationSeparator/>
      </w:r>
    </w:p>
  </w:footnote>
  <w:footnote w:id="1">
    <w:p w:rsidR="00EA7EE3" w:rsidRPr="00EA7EE3" w:rsidRDefault="00EA7EE3" w:rsidP="00EA7EE3">
      <w:pPr>
        <w:pStyle w:val="Notedebasdepage"/>
        <w:rPr>
          <w:lang w:val="fr-CH"/>
        </w:rPr>
      </w:pPr>
      <w:r>
        <w:rPr>
          <w:rStyle w:val="Appelnotedebasdep"/>
        </w:rPr>
        <w:footnoteRef/>
      </w:r>
      <w:r>
        <w:t xml:space="preserve"> </w:t>
      </w:r>
      <w:r w:rsidR="00F07C11">
        <w:t>Dalloz, Lexique des termes juridiques,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E28" w:rsidRDefault="00B91E28" w:rsidP="00B91E28">
    <w:pPr>
      <w:pStyle w:val="En-tte"/>
    </w:pPr>
    <w:r>
      <w:rPr>
        <w:noProof/>
        <w:lang w:eastAsia="fr-CH"/>
      </w:rPr>
      <w:drawing>
        <wp:inline distT="0" distB="0" distL="0" distR="0" wp14:anchorId="7AC07780" wp14:editId="44B56AE7">
          <wp:extent cx="1489266"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H_neutral_cmyk_C_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7741" cy="260365"/>
                  </a:xfrm>
                  <a:prstGeom prst="rect">
                    <a:avLst/>
                  </a:prstGeom>
                </pic:spPr>
              </pic:pic>
            </a:graphicData>
          </a:graphic>
        </wp:inline>
      </w:drawing>
    </w:r>
    <w:r>
      <w:rPr>
        <w:sz w:val="18"/>
        <w:szCs w:val="18"/>
      </w:rPr>
      <w:tab/>
    </w:r>
    <w:r>
      <w:rPr>
        <w:sz w:val="18"/>
        <w:szCs w:val="18"/>
      </w:rPr>
      <w:tab/>
    </w:r>
    <w:r w:rsidRPr="001B12B9">
      <w:rPr>
        <w:sz w:val="18"/>
        <w:szCs w:val="18"/>
      </w:rPr>
      <w:t>15/05/2017</w:t>
    </w:r>
  </w:p>
  <w:p w:rsidR="00B91E28" w:rsidRDefault="00B91E28">
    <w:pPr>
      <w:pStyle w:val="En-tte"/>
    </w:pPr>
  </w:p>
  <w:p w:rsidR="00001895" w:rsidRDefault="000018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8DB"/>
    <w:multiLevelType w:val="hybridMultilevel"/>
    <w:tmpl w:val="23003446"/>
    <w:lvl w:ilvl="0" w:tplc="9A1CCD86">
      <w:start w:val="1"/>
      <w:numFmt w:val="bullet"/>
      <w:lvlText w:val="-"/>
      <w:lvlJc w:val="left"/>
      <w:pPr>
        <w:ind w:left="720" w:hanging="360"/>
      </w:pPr>
      <w:rPr>
        <w:rFonts w:ascii="Calibri" w:eastAsia="Calibri" w:hAnsi="Calibri" w:cs="Times New Roman"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8866EB"/>
    <w:multiLevelType w:val="hybridMultilevel"/>
    <w:tmpl w:val="2796087A"/>
    <w:lvl w:ilvl="0" w:tplc="6ADAB840">
      <w:start w:val="2"/>
      <w:numFmt w:val="bullet"/>
      <w:lvlText w:val="-"/>
      <w:lvlJc w:val="left"/>
      <w:pPr>
        <w:ind w:left="720" w:hanging="360"/>
      </w:pPr>
      <w:rPr>
        <w:rFonts w:ascii="Calibri" w:eastAsiaTheme="minorHAnsi" w:hAnsi="Calibri" w:cstheme="minorBidi" w:hint="default"/>
        <w:color w:val="F79646" w:themeColor="accent6"/>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AD115C8"/>
    <w:multiLevelType w:val="hybridMultilevel"/>
    <w:tmpl w:val="4322D7DE"/>
    <w:lvl w:ilvl="0" w:tplc="9C8AD2C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95"/>
    <w:rsid w:val="00001895"/>
    <w:rsid w:val="000723C9"/>
    <w:rsid w:val="000F1E6F"/>
    <w:rsid w:val="0013036F"/>
    <w:rsid w:val="00152608"/>
    <w:rsid w:val="00172E91"/>
    <w:rsid w:val="00181CE8"/>
    <w:rsid w:val="001A4770"/>
    <w:rsid w:val="001B093D"/>
    <w:rsid w:val="00235BBE"/>
    <w:rsid w:val="00245C8B"/>
    <w:rsid w:val="002759E7"/>
    <w:rsid w:val="002847D0"/>
    <w:rsid w:val="0030695D"/>
    <w:rsid w:val="003A73B4"/>
    <w:rsid w:val="003C30E8"/>
    <w:rsid w:val="003D6FF2"/>
    <w:rsid w:val="003D7E75"/>
    <w:rsid w:val="00411A95"/>
    <w:rsid w:val="004762C7"/>
    <w:rsid w:val="0048156C"/>
    <w:rsid w:val="0048303C"/>
    <w:rsid w:val="004D60D5"/>
    <w:rsid w:val="004E12DD"/>
    <w:rsid w:val="00505E9F"/>
    <w:rsid w:val="00512DF0"/>
    <w:rsid w:val="0052546E"/>
    <w:rsid w:val="0053199D"/>
    <w:rsid w:val="00551190"/>
    <w:rsid w:val="005559D3"/>
    <w:rsid w:val="0057239F"/>
    <w:rsid w:val="005821DC"/>
    <w:rsid w:val="005A5EBD"/>
    <w:rsid w:val="005C1189"/>
    <w:rsid w:val="005E050B"/>
    <w:rsid w:val="005E5CD5"/>
    <w:rsid w:val="006201E1"/>
    <w:rsid w:val="00722157"/>
    <w:rsid w:val="00740A0A"/>
    <w:rsid w:val="00741E96"/>
    <w:rsid w:val="0075495E"/>
    <w:rsid w:val="00760271"/>
    <w:rsid w:val="00775462"/>
    <w:rsid w:val="0078664C"/>
    <w:rsid w:val="007D5D70"/>
    <w:rsid w:val="007E4563"/>
    <w:rsid w:val="00816C91"/>
    <w:rsid w:val="00862702"/>
    <w:rsid w:val="00881700"/>
    <w:rsid w:val="008B0526"/>
    <w:rsid w:val="008D4FCE"/>
    <w:rsid w:val="009E3947"/>
    <w:rsid w:val="009F3FE3"/>
    <w:rsid w:val="00A160E8"/>
    <w:rsid w:val="00A45960"/>
    <w:rsid w:val="00A71D60"/>
    <w:rsid w:val="00AC1962"/>
    <w:rsid w:val="00B16C96"/>
    <w:rsid w:val="00B31ADD"/>
    <w:rsid w:val="00B36689"/>
    <w:rsid w:val="00B41581"/>
    <w:rsid w:val="00B91E28"/>
    <w:rsid w:val="00B940D7"/>
    <w:rsid w:val="00BF7079"/>
    <w:rsid w:val="00CA4A6D"/>
    <w:rsid w:val="00CF0FA1"/>
    <w:rsid w:val="00D1582D"/>
    <w:rsid w:val="00D1796A"/>
    <w:rsid w:val="00D3350F"/>
    <w:rsid w:val="00D472E5"/>
    <w:rsid w:val="00DA0681"/>
    <w:rsid w:val="00DB5818"/>
    <w:rsid w:val="00E404EF"/>
    <w:rsid w:val="00E70B69"/>
    <w:rsid w:val="00E9467C"/>
    <w:rsid w:val="00EA2738"/>
    <w:rsid w:val="00EA70D3"/>
    <w:rsid w:val="00EA7EE3"/>
    <w:rsid w:val="00F07C11"/>
    <w:rsid w:val="00F5449A"/>
    <w:rsid w:val="00FA236E"/>
    <w:rsid w:val="00FE7A5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B6D0"/>
  <w15:docId w15:val="{64C6B3BB-3FAE-4351-9AA4-6A124703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8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1895"/>
    <w:pPr>
      <w:tabs>
        <w:tab w:val="center" w:pos="4536"/>
        <w:tab w:val="right" w:pos="9072"/>
      </w:tabs>
      <w:spacing w:after="0" w:line="240" w:lineRule="auto"/>
    </w:pPr>
  </w:style>
  <w:style w:type="character" w:customStyle="1" w:styleId="En-tteCar">
    <w:name w:val="En-tête Car"/>
    <w:basedOn w:val="Policepardfaut"/>
    <w:link w:val="En-tte"/>
    <w:uiPriority w:val="99"/>
    <w:rsid w:val="00001895"/>
  </w:style>
  <w:style w:type="paragraph" w:styleId="Pieddepage">
    <w:name w:val="footer"/>
    <w:basedOn w:val="Normal"/>
    <w:link w:val="PieddepageCar"/>
    <w:uiPriority w:val="99"/>
    <w:unhideWhenUsed/>
    <w:rsid w:val="000018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895"/>
  </w:style>
  <w:style w:type="paragraph" w:styleId="Paragraphedeliste">
    <w:name w:val="List Paragraph"/>
    <w:basedOn w:val="Normal"/>
    <w:uiPriority w:val="34"/>
    <w:qFormat/>
    <w:rsid w:val="00001895"/>
    <w:pPr>
      <w:ind w:left="720"/>
      <w:contextualSpacing/>
    </w:pPr>
  </w:style>
  <w:style w:type="paragraph" w:styleId="Notedebasdepage">
    <w:name w:val="footnote text"/>
    <w:basedOn w:val="Normal"/>
    <w:link w:val="NotedebasdepageCar"/>
    <w:uiPriority w:val="99"/>
    <w:semiHidden/>
    <w:unhideWhenUsed/>
    <w:rsid w:val="00B16C96"/>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B16C96"/>
    <w:rPr>
      <w:sz w:val="20"/>
      <w:szCs w:val="20"/>
      <w:lang w:val="fr-FR"/>
    </w:rPr>
  </w:style>
  <w:style w:type="character" w:styleId="Appelnotedebasdep">
    <w:name w:val="footnote reference"/>
    <w:basedOn w:val="Policepardfaut"/>
    <w:uiPriority w:val="99"/>
    <w:semiHidden/>
    <w:unhideWhenUsed/>
    <w:rsid w:val="00B16C96"/>
    <w:rPr>
      <w:vertAlign w:val="superscript"/>
    </w:rPr>
  </w:style>
  <w:style w:type="paragraph" w:styleId="Textedebulles">
    <w:name w:val="Balloon Text"/>
    <w:basedOn w:val="Normal"/>
    <w:link w:val="TextedebullesCar"/>
    <w:uiPriority w:val="99"/>
    <w:semiHidden/>
    <w:unhideWhenUsed/>
    <w:rsid w:val="005821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21DC"/>
    <w:rPr>
      <w:rFonts w:ascii="Tahoma" w:hAnsi="Tahoma" w:cs="Tahoma"/>
      <w:sz w:val="16"/>
      <w:szCs w:val="16"/>
    </w:rPr>
  </w:style>
  <w:style w:type="character" w:styleId="Marquedecommentaire">
    <w:name w:val="annotation reference"/>
    <w:basedOn w:val="Policepardfaut"/>
    <w:uiPriority w:val="99"/>
    <w:semiHidden/>
    <w:unhideWhenUsed/>
    <w:rsid w:val="00CF0FA1"/>
    <w:rPr>
      <w:sz w:val="16"/>
      <w:szCs w:val="16"/>
    </w:rPr>
  </w:style>
  <w:style w:type="paragraph" w:styleId="Commentaire">
    <w:name w:val="annotation text"/>
    <w:basedOn w:val="Normal"/>
    <w:link w:val="CommentaireCar"/>
    <w:uiPriority w:val="99"/>
    <w:semiHidden/>
    <w:unhideWhenUsed/>
    <w:rsid w:val="00CF0FA1"/>
    <w:pPr>
      <w:spacing w:line="240" w:lineRule="auto"/>
    </w:pPr>
    <w:rPr>
      <w:sz w:val="20"/>
      <w:szCs w:val="20"/>
    </w:rPr>
  </w:style>
  <w:style w:type="character" w:customStyle="1" w:styleId="CommentaireCar">
    <w:name w:val="Commentaire Car"/>
    <w:basedOn w:val="Policepardfaut"/>
    <w:link w:val="Commentaire"/>
    <w:uiPriority w:val="99"/>
    <w:semiHidden/>
    <w:rsid w:val="00CF0FA1"/>
    <w:rPr>
      <w:sz w:val="20"/>
      <w:szCs w:val="20"/>
    </w:rPr>
  </w:style>
  <w:style w:type="paragraph" w:styleId="Objetducommentaire">
    <w:name w:val="annotation subject"/>
    <w:basedOn w:val="Commentaire"/>
    <w:next w:val="Commentaire"/>
    <w:link w:val="ObjetducommentaireCar"/>
    <w:uiPriority w:val="99"/>
    <w:semiHidden/>
    <w:unhideWhenUsed/>
    <w:rsid w:val="00CF0FA1"/>
    <w:rPr>
      <w:b/>
      <w:bCs/>
    </w:rPr>
  </w:style>
  <w:style w:type="character" w:customStyle="1" w:styleId="ObjetducommentaireCar">
    <w:name w:val="Objet du commentaire Car"/>
    <w:basedOn w:val="CommentaireCar"/>
    <w:link w:val="Objetducommentaire"/>
    <w:uiPriority w:val="99"/>
    <w:semiHidden/>
    <w:rsid w:val="00CF0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73415">
      <w:bodyDiv w:val="1"/>
      <w:marLeft w:val="0"/>
      <w:marRight w:val="0"/>
      <w:marTop w:val="0"/>
      <w:marBottom w:val="0"/>
      <w:divBdr>
        <w:top w:val="none" w:sz="0" w:space="0" w:color="auto"/>
        <w:left w:val="none" w:sz="0" w:space="0" w:color="auto"/>
        <w:bottom w:val="none" w:sz="0" w:space="0" w:color="auto"/>
        <w:right w:val="none" w:sz="0" w:space="0" w:color="auto"/>
      </w:divBdr>
    </w:div>
    <w:div w:id="1282416772">
      <w:bodyDiv w:val="1"/>
      <w:marLeft w:val="0"/>
      <w:marRight w:val="0"/>
      <w:marTop w:val="0"/>
      <w:marBottom w:val="0"/>
      <w:divBdr>
        <w:top w:val="none" w:sz="0" w:space="0" w:color="auto"/>
        <w:left w:val="none" w:sz="0" w:space="0" w:color="auto"/>
        <w:bottom w:val="none" w:sz="0" w:space="0" w:color="auto"/>
        <w:right w:val="none" w:sz="0" w:space="0" w:color="auto"/>
      </w:divBdr>
    </w:div>
    <w:div w:id="15808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C4B3-4BBA-4EC1-BC9B-3208BA93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1131</Words>
  <Characters>6222</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TDH</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Mareschal</dc:creator>
  <cp:lastModifiedBy>Fabrice Crégut</cp:lastModifiedBy>
  <cp:revision>23</cp:revision>
  <dcterms:created xsi:type="dcterms:W3CDTF">2017-05-01T12:49:00Z</dcterms:created>
  <dcterms:modified xsi:type="dcterms:W3CDTF">2017-08-24T07:49:00Z</dcterms:modified>
</cp:coreProperties>
</file>