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2B" w:rsidRPr="001B12B9" w:rsidRDefault="00F33B2B" w:rsidP="00F33B2B">
      <w:pPr>
        <w:jc w:val="center"/>
        <w:rPr>
          <w:rFonts w:ascii="Calibri" w:eastAsia="Calibri" w:hAnsi="Calibri" w:cs="Times New Roman"/>
          <w:b/>
          <w:color w:val="17365D" w:themeColor="text2" w:themeShade="BF"/>
          <w:sz w:val="24"/>
          <w:szCs w:val="24"/>
        </w:rPr>
      </w:pPr>
      <w:r w:rsidRPr="001B12B9">
        <w:rPr>
          <w:rFonts w:ascii="Calibri" w:eastAsia="Calibri" w:hAnsi="Calibri" w:cs="Times New Roman"/>
          <w:b/>
          <w:color w:val="17365D" w:themeColor="text2" w:themeShade="BF"/>
          <w:sz w:val="24"/>
          <w:szCs w:val="24"/>
        </w:rPr>
        <w:t xml:space="preserve">Contribution Programme Tdh 2017-2020 </w:t>
      </w:r>
      <w:r>
        <w:rPr>
          <w:rFonts w:ascii="Calibri" w:eastAsia="Calibri" w:hAnsi="Calibri" w:cs="Times New Roman"/>
          <w:b/>
          <w:color w:val="17365D" w:themeColor="text2" w:themeShade="BF"/>
          <w:sz w:val="24"/>
          <w:szCs w:val="24"/>
        </w:rPr>
        <w:t xml:space="preserve">/ </w:t>
      </w:r>
      <w:r w:rsidRPr="001B12B9">
        <w:rPr>
          <w:rFonts w:ascii="Calibri" w:eastAsia="Calibri" w:hAnsi="Calibri" w:cs="Times New Roman"/>
          <w:b/>
          <w:color w:val="17365D" w:themeColor="text2" w:themeShade="BF"/>
          <w:sz w:val="24"/>
          <w:szCs w:val="24"/>
        </w:rPr>
        <w:t>Plan straté</w:t>
      </w:r>
      <w:r>
        <w:rPr>
          <w:rFonts w:ascii="Calibri" w:eastAsia="Calibri" w:hAnsi="Calibri" w:cs="Times New Roman"/>
          <w:b/>
          <w:color w:val="17365D" w:themeColor="text2" w:themeShade="BF"/>
          <w:sz w:val="24"/>
          <w:szCs w:val="24"/>
        </w:rPr>
        <w:t>gique 2016-</w:t>
      </w:r>
      <w:r w:rsidRPr="001B12B9">
        <w:rPr>
          <w:rFonts w:ascii="Calibri" w:eastAsia="Calibri" w:hAnsi="Calibri" w:cs="Times New Roman"/>
          <w:b/>
          <w:color w:val="17365D" w:themeColor="text2" w:themeShade="BF"/>
          <w:sz w:val="24"/>
          <w:szCs w:val="24"/>
        </w:rPr>
        <w:t>2020</w:t>
      </w:r>
    </w:p>
    <w:p w:rsidR="00F33B2B" w:rsidRPr="00F57649" w:rsidRDefault="00F33B2B" w:rsidP="00F33B2B">
      <w:pPr>
        <w:jc w:val="center"/>
        <w:rPr>
          <w:rFonts w:ascii="Calibri" w:eastAsia="Calibri" w:hAnsi="Calibri" w:cs="Times New Roman"/>
          <w:b/>
          <w:color w:val="17365D" w:themeColor="text2" w:themeShade="BF"/>
          <w:sz w:val="32"/>
          <w:szCs w:val="32"/>
        </w:rPr>
      </w:pPr>
      <w:r w:rsidRPr="001B12B9">
        <w:rPr>
          <w:rFonts w:ascii="Calibri" w:eastAsia="Calibri" w:hAnsi="Calibri" w:cs="Times New Roman"/>
          <w:b/>
          <w:color w:val="17365D" w:themeColor="text2" w:themeShade="BF"/>
          <w:sz w:val="24"/>
          <w:szCs w:val="24"/>
        </w:rPr>
        <w:t>Indicateurs programmatiques</w:t>
      </w:r>
    </w:p>
    <w:p w:rsidR="009B1DAB" w:rsidRPr="005A699F" w:rsidRDefault="009B1DAB" w:rsidP="005A699F">
      <w:pPr>
        <w:jc w:val="center"/>
        <w:rPr>
          <w:rFonts w:ascii="Calibri" w:eastAsia="Calibri" w:hAnsi="Calibri" w:cs="Times New Roman"/>
          <w:b/>
          <w:color w:val="17365D" w:themeColor="text2" w:themeShade="BF"/>
          <w:sz w:val="32"/>
          <w:szCs w:val="32"/>
        </w:rPr>
      </w:pPr>
    </w:p>
    <w:p w:rsidR="009B1DAB" w:rsidRPr="0072080A" w:rsidRDefault="009B1DAB" w:rsidP="009B1DAB">
      <w:pPr>
        <w:rPr>
          <w:rFonts w:ascii="Calibri" w:eastAsia="Calibri" w:hAnsi="Calibri" w:cs="Times New Roman"/>
          <w:b/>
          <w:sz w:val="20"/>
          <w:szCs w:val="20"/>
        </w:rPr>
      </w:pPr>
      <w:r w:rsidRPr="0072080A">
        <w:rPr>
          <w:rFonts w:ascii="Calibri" w:eastAsia="Calibri" w:hAnsi="Calibri" w:cs="Times New Roman"/>
          <w:b/>
          <w:sz w:val="20"/>
          <w:szCs w:val="20"/>
          <w:lang w:val="fr-FR"/>
        </w:rPr>
        <w:t>[</w:t>
      </w:r>
      <w:r w:rsidR="00242BEA" w:rsidRPr="0072080A">
        <w:rPr>
          <w:rFonts w:ascii="Calibri" w:eastAsia="Calibri" w:hAnsi="Calibri" w:cs="Times New Roman"/>
          <w:b/>
          <w:sz w:val="20"/>
          <w:szCs w:val="20"/>
          <w:lang w:val="fr-FR"/>
        </w:rPr>
        <w:t xml:space="preserve">Programme] </w:t>
      </w:r>
      <w:r w:rsidR="00242BEA" w:rsidRPr="00242BEA">
        <w:rPr>
          <w:rFonts w:ascii="Calibri" w:eastAsia="Calibri" w:hAnsi="Calibri" w:cs="Times New Roman"/>
          <w:sz w:val="20"/>
          <w:szCs w:val="20"/>
          <w:lang w:val="fr-FR"/>
        </w:rPr>
        <w:t>Justice</w:t>
      </w:r>
      <w:r w:rsidRPr="0072080A">
        <w:rPr>
          <w:rFonts w:ascii="Calibri" w:eastAsia="Calibri" w:hAnsi="Calibri" w:cs="Times New Roman"/>
          <w:bCs/>
          <w:sz w:val="20"/>
          <w:szCs w:val="20"/>
        </w:rPr>
        <w:t xml:space="preserve"> Juvénile</w:t>
      </w:r>
    </w:p>
    <w:p w:rsidR="009B1DAB" w:rsidRPr="0072080A" w:rsidRDefault="009B1DAB" w:rsidP="009B1DAB">
      <w:pPr>
        <w:jc w:val="both"/>
        <w:rPr>
          <w:rFonts w:ascii="Calibri" w:eastAsia="Calibri" w:hAnsi="Calibri" w:cs="Arial"/>
          <w:sz w:val="20"/>
          <w:szCs w:val="20"/>
        </w:rPr>
      </w:pPr>
      <w:r w:rsidRPr="0072080A">
        <w:rPr>
          <w:rFonts w:ascii="Calibri" w:eastAsia="Calibri" w:hAnsi="Calibri" w:cs="Times New Roman"/>
          <w:b/>
          <w:sz w:val="20"/>
          <w:szCs w:val="20"/>
          <w:lang w:val="fr-FR"/>
        </w:rPr>
        <w:t xml:space="preserve">[Résultat] RA 1.1 </w:t>
      </w:r>
      <w:r w:rsidR="005A699F" w:rsidRPr="0072080A">
        <w:rPr>
          <w:rFonts w:ascii="Calibri" w:eastAsia="Calibri" w:hAnsi="Calibri" w:cs="Arial"/>
          <w:sz w:val="20"/>
          <w:szCs w:val="20"/>
        </w:rPr>
        <w:t>Le programme JJ</w:t>
      </w:r>
      <w:r w:rsidRPr="0072080A">
        <w:rPr>
          <w:rFonts w:ascii="Calibri" w:eastAsia="Calibri" w:hAnsi="Calibri" w:cs="Arial"/>
          <w:sz w:val="20"/>
          <w:szCs w:val="20"/>
        </w:rPr>
        <w:t xml:space="preserve"> met en place des projets qui répondent aux besoins spécifiques de 20 pays ou unités de pays des régions d’impact Amérique Latine</w:t>
      </w:r>
      <w:r w:rsidRPr="0072080A">
        <w:rPr>
          <w:rFonts w:ascii="Calibri" w:eastAsia="Calibri" w:hAnsi="Calibri" w:cs="Arial"/>
          <w:sz w:val="20"/>
          <w:szCs w:val="20"/>
          <w:vertAlign w:val="superscript"/>
        </w:rPr>
        <w:footnoteReference w:id="1"/>
      </w:r>
      <w:r w:rsidRPr="0072080A">
        <w:rPr>
          <w:rFonts w:ascii="Calibri" w:eastAsia="Calibri" w:hAnsi="Calibri" w:cs="Arial"/>
          <w:sz w:val="20"/>
          <w:szCs w:val="20"/>
        </w:rPr>
        <w:t>, Afrique</w:t>
      </w:r>
      <w:r w:rsidRPr="0072080A">
        <w:rPr>
          <w:rFonts w:ascii="Calibri" w:eastAsia="Calibri" w:hAnsi="Calibri" w:cs="Arial"/>
          <w:sz w:val="20"/>
          <w:szCs w:val="20"/>
          <w:vertAlign w:val="superscript"/>
        </w:rPr>
        <w:footnoteReference w:id="2"/>
      </w:r>
      <w:r w:rsidRPr="0072080A">
        <w:rPr>
          <w:rFonts w:ascii="Calibri" w:eastAsia="Calibri" w:hAnsi="Calibri" w:cs="Arial"/>
          <w:sz w:val="20"/>
          <w:szCs w:val="20"/>
        </w:rPr>
        <w:t xml:space="preserve"> et Moyen-Orient Afrique du Nord</w:t>
      </w:r>
      <w:r w:rsidRPr="0072080A">
        <w:rPr>
          <w:rFonts w:ascii="Calibri" w:eastAsia="Calibri" w:hAnsi="Calibri" w:cs="Arial"/>
          <w:sz w:val="20"/>
          <w:szCs w:val="20"/>
          <w:vertAlign w:val="superscript"/>
        </w:rPr>
        <w:footnoteReference w:id="3"/>
      </w:r>
      <w:r w:rsidRPr="0072080A">
        <w:rPr>
          <w:rFonts w:ascii="Calibri" w:eastAsia="Calibri" w:hAnsi="Calibri" w:cs="Arial"/>
          <w:sz w:val="20"/>
          <w:szCs w:val="20"/>
        </w:rPr>
        <w:t xml:space="preserve"> et en Asie des projets en lien avec les objectifs </w:t>
      </w:r>
      <w:r w:rsidR="00242BEA" w:rsidRPr="0072080A">
        <w:rPr>
          <w:rFonts w:ascii="Calibri" w:eastAsia="Calibri" w:hAnsi="Calibri" w:cs="Arial"/>
          <w:sz w:val="20"/>
          <w:szCs w:val="20"/>
        </w:rPr>
        <w:t>suivants :</w:t>
      </w:r>
      <w:r w:rsidRPr="0072080A">
        <w:rPr>
          <w:rFonts w:ascii="Calibri" w:eastAsia="Calibri" w:hAnsi="Calibri" w:cs="Arial"/>
          <w:sz w:val="20"/>
          <w:szCs w:val="20"/>
        </w:rPr>
        <w:t> </w:t>
      </w:r>
    </w:p>
    <w:p w:rsidR="0084202B" w:rsidRPr="0072080A" w:rsidRDefault="009B1DAB" w:rsidP="0072080A">
      <w:pPr>
        <w:jc w:val="both"/>
        <w:rPr>
          <w:rFonts w:ascii="Calibri" w:eastAsia="Calibri" w:hAnsi="Calibri" w:cs="Arial"/>
          <w:sz w:val="20"/>
          <w:szCs w:val="20"/>
        </w:rPr>
      </w:pPr>
      <w:r w:rsidRPr="0072080A">
        <w:rPr>
          <w:rFonts w:ascii="Calibri" w:eastAsia="Calibri" w:hAnsi="Calibri" w:cs="Arial"/>
          <w:sz w:val="20"/>
          <w:szCs w:val="20"/>
        </w:rPr>
        <w:t>Réduire nombre d’enfants en détention grâce à l’augmentation du taux de mesures non-privative</w:t>
      </w:r>
      <w:r w:rsidR="005A699F" w:rsidRPr="0072080A">
        <w:rPr>
          <w:rFonts w:ascii="Calibri" w:eastAsia="Calibri" w:hAnsi="Calibri" w:cs="Arial"/>
          <w:sz w:val="20"/>
          <w:szCs w:val="20"/>
        </w:rPr>
        <w:t>s</w:t>
      </w:r>
      <w:r w:rsidRPr="0072080A">
        <w:rPr>
          <w:rFonts w:ascii="Calibri" w:eastAsia="Calibri" w:hAnsi="Calibri" w:cs="Arial"/>
          <w:sz w:val="20"/>
          <w:szCs w:val="20"/>
        </w:rPr>
        <w:t xml:space="preserve"> de liberté et amélioration de la prise en charge spécialisée en privation de </w:t>
      </w:r>
      <w:r w:rsidR="00242BEA" w:rsidRPr="0072080A">
        <w:rPr>
          <w:rFonts w:ascii="Calibri" w:eastAsia="Calibri" w:hAnsi="Calibri" w:cs="Arial"/>
          <w:sz w:val="20"/>
          <w:szCs w:val="20"/>
        </w:rPr>
        <w:t>liberté.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53"/>
      </w:tblGrid>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1895" w:rsidRPr="00001895" w:rsidRDefault="00001895" w:rsidP="007C5451">
            <w:pPr>
              <w:tabs>
                <w:tab w:val="left" w:pos="3960"/>
              </w:tabs>
              <w:spacing w:after="120" w:line="240" w:lineRule="auto"/>
              <w:rPr>
                <w:rFonts w:ascii="Calibri" w:eastAsia="Calibri" w:hAnsi="Calibri" w:cs="Calibri"/>
                <w:b/>
                <w:bCs/>
                <w:sz w:val="20"/>
                <w:szCs w:val="20"/>
                <w:lang w:eastAsia="fr-FR"/>
              </w:rPr>
            </w:pPr>
            <w:r w:rsidRPr="00001895">
              <w:rPr>
                <w:rFonts w:ascii="Calibri" w:eastAsia="Calibri" w:hAnsi="Calibri" w:cs="Calibri"/>
                <w:b/>
                <w:bCs/>
                <w:sz w:val="20"/>
                <w:szCs w:val="20"/>
                <w:lang w:eastAsia="fr-FR"/>
              </w:rPr>
              <w:t>Indicateur (Titre)</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1895" w:rsidRPr="005A699F" w:rsidRDefault="005164C3" w:rsidP="007C5451">
            <w:pPr>
              <w:spacing w:after="0"/>
              <w:rPr>
                <w:sz w:val="20"/>
                <w:szCs w:val="20"/>
                <w:lang w:val="fr-FR"/>
              </w:rPr>
            </w:pPr>
            <w:r w:rsidRPr="005A699F">
              <w:rPr>
                <w:sz w:val="20"/>
                <w:szCs w:val="20"/>
                <w:lang w:val="fr-FR"/>
              </w:rPr>
              <w:t>Nombre de professionnels formés ou sensibilisé annuellement par le programme JJ</w:t>
            </w:r>
          </w:p>
          <w:p w:rsidR="0072080A" w:rsidRPr="005A699F" w:rsidRDefault="0072080A" w:rsidP="007C5451">
            <w:pPr>
              <w:spacing w:after="0"/>
              <w:rPr>
                <w:sz w:val="20"/>
                <w:szCs w:val="20"/>
                <w:lang w:val="fr-FR"/>
              </w:rPr>
            </w:pPr>
          </w:p>
        </w:tc>
      </w:tr>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1895" w:rsidRPr="000617FF" w:rsidRDefault="00001895" w:rsidP="007C5451">
            <w:pPr>
              <w:tabs>
                <w:tab w:val="left" w:pos="3960"/>
              </w:tabs>
              <w:spacing w:after="120" w:line="240" w:lineRule="auto"/>
              <w:rPr>
                <w:rFonts w:ascii="Calibri" w:eastAsia="Calibri" w:hAnsi="Calibri" w:cs="Calibri"/>
                <w:b/>
                <w:bCs/>
                <w:sz w:val="20"/>
                <w:szCs w:val="20"/>
                <w:lang w:eastAsia="fr-FR"/>
              </w:rPr>
            </w:pPr>
            <w:r w:rsidRPr="000617FF">
              <w:rPr>
                <w:rFonts w:ascii="Calibri" w:eastAsia="Calibri" w:hAnsi="Calibri" w:cs="Calibri"/>
                <w:b/>
                <w:bCs/>
                <w:sz w:val="20"/>
                <w:szCs w:val="20"/>
                <w:lang w:eastAsia="fr-FR"/>
              </w:rPr>
              <w:t>Définition</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1895" w:rsidRDefault="005A699F" w:rsidP="00001895">
            <w:pPr>
              <w:spacing w:after="0"/>
              <w:rPr>
                <w:sz w:val="20"/>
                <w:szCs w:val="20"/>
                <w:lang w:val="fr-FR"/>
              </w:rPr>
            </w:pPr>
            <w:r w:rsidRPr="005A699F">
              <w:rPr>
                <w:b/>
                <w:sz w:val="20"/>
                <w:szCs w:val="20"/>
                <w:u w:val="single"/>
                <w:lang w:val="fr-FR"/>
              </w:rPr>
              <w:t>Professionnels</w:t>
            </w:r>
            <w:r w:rsidR="005164C3" w:rsidRPr="005A699F">
              <w:rPr>
                <w:sz w:val="20"/>
                <w:szCs w:val="20"/>
                <w:lang w:val="fr-FR"/>
              </w:rPr>
              <w:t> : (catégories)</w:t>
            </w:r>
          </w:p>
          <w:p w:rsidR="0072080A" w:rsidRPr="005A699F" w:rsidRDefault="0072080A" w:rsidP="0072080A">
            <w:pPr>
              <w:spacing w:after="0"/>
              <w:rPr>
                <w:sz w:val="20"/>
                <w:szCs w:val="20"/>
                <w:lang w:val="fr-FR"/>
              </w:rPr>
            </w:pPr>
            <w:r>
              <w:rPr>
                <w:sz w:val="20"/>
                <w:szCs w:val="20"/>
                <w:lang w:val="fr-FR"/>
              </w:rPr>
              <w:t>Ca</w:t>
            </w:r>
            <w:r w:rsidRPr="005A699F">
              <w:rPr>
                <w:sz w:val="20"/>
                <w:szCs w:val="20"/>
                <w:lang w:val="fr-FR"/>
              </w:rPr>
              <w:t>tégories de professionnels reconnus (liste non-exhaustive):</w:t>
            </w:r>
          </w:p>
          <w:p w:rsidR="0072080A" w:rsidRPr="005A699F" w:rsidRDefault="0072080A" w:rsidP="0072080A">
            <w:pPr>
              <w:pStyle w:val="Paragraphedeliste"/>
              <w:numPr>
                <w:ilvl w:val="0"/>
                <w:numId w:val="6"/>
              </w:numPr>
              <w:spacing w:after="0"/>
              <w:rPr>
                <w:sz w:val="20"/>
                <w:szCs w:val="20"/>
                <w:lang w:val="fr-FR"/>
              </w:rPr>
            </w:pPr>
            <w:r w:rsidRPr="005A699F">
              <w:rPr>
                <w:sz w:val="20"/>
                <w:szCs w:val="20"/>
                <w:lang w:val="fr-FR"/>
              </w:rPr>
              <w:t>Juges</w:t>
            </w:r>
          </w:p>
          <w:p w:rsidR="0072080A" w:rsidRPr="005A699F" w:rsidRDefault="0072080A" w:rsidP="0072080A">
            <w:pPr>
              <w:pStyle w:val="Paragraphedeliste"/>
              <w:numPr>
                <w:ilvl w:val="0"/>
                <w:numId w:val="6"/>
              </w:numPr>
              <w:spacing w:after="0"/>
              <w:rPr>
                <w:sz w:val="20"/>
                <w:szCs w:val="20"/>
                <w:lang w:val="fr-FR"/>
              </w:rPr>
            </w:pPr>
            <w:r w:rsidRPr="005A699F">
              <w:rPr>
                <w:sz w:val="20"/>
                <w:szCs w:val="20"/>
                <w:lang w:val="fr-FR"/>
              </w:rPr>
              <w:t>Procureurs</w:t>
            </w:r>
          </w:p>
          <w:p w:rsidR="0072080A" w:rsidRDefault="0072080A" w:rsidP="0072080A">
            <w:pPr>
              <w:pStyle w:val="Paragraphedeliste"/>
              <w:numPr>
                <w:ilvl w:val="0"/>
                <w:numId w:val="6"/>
              </w:numPr>
              <w:spacing w:after="0"/>
              <w:rPr>
                <w:sz w:val="20"/>
                <w:szCs w:val="20"/>
                <w:lang w:val="fr-FR"/>
              </w:rPr>
            </w:pPr>
            <w:r w:rsidRPr="005A699F">
              <w:rPr>
                <w:sz w:val="20"/>
                <w:szCs w:val="20"/>
                <w:lang w:val="fr-FR"/>
              </w:rPr>
              <w:t>Avocats</w:t>
            </w:r>
          </w:p>
          <w:p w:rsidR="00D7281A" w:rsidRPr="005A699F" w:rsidRDefault="00D7281A" w:rsidP="0072080A">
            <w:pPr>
              <w:pStyle w:val="Paragraphedeliste"/>
              <w:numPr>
                <w:ilvl w:val="0"/>
                <w:numId w:val="6"/>
              </w:numPr>
              <w:spacing w:after="0"/>
              <w:rPr>
                <w:sz w:val="20"/>
                <w:szCs w:val="20"/>
                <w:lang w:val="fr-FR"/>
              </w:rPr>
            </w:pPr>
            <w:r>
              <w:rPr>
                <w:sz w:val="20"/>
                <w:szCs w:val="20"/>
                <w:lang w:val="fr-FR"/>
              </w:rPr>
              <w:t>Policiers</w:t>
            </w:r>
          </w:p>
          <w:p w:rsidR="0072080A" w:rsidRPr="005A699F" w:rsidRDefault="0072080A" w:rsidP="0072080A">
            <w:pPr>
              <w:pStyle w:val="Paragraphedeliste"/>
              <w:numPr>
                <w:ilvl w:val="0"/>
                <w:numId w:val="6"/>
              </w:numPr>
              <w:spacing w:after="0"/>
              <w:rPr>
                <w:sz w:val="20"/>
                <w:szCs w:val="20"/>
                <w:lang w:val="fr-FR"/>
              </w:rPr>
            </w:pPr>
            <w:r w:rsidRPr="005A699F">
              <w:rPr>
                <w:sz w:val="20"/>
                <w:szCs w:val="20"/>
                <w:lang w:val="fr-FR"/>
              </w:rPr>
              <w:t>Educateurs, psychologues, intervenants sociaux</w:t>
            </w:r>
          </w:p>
          <w:p w:rsidR="0072080A" w:rsidRPr="005A699F" w:rsidRDefault="0072080A" w:rsidP="0072080A">
            <w:pPr>
              <w:pStyle w:val="Paragraphedeliste"/>
              <w:numPr>
                <w:ilvl w:val="0"/>
                <w:numId w:val="6"/>
              </w:numPr>
              <w:spacing w:after="0"/>
              <w:rPr>
                <w:sz w:val="20"/>
                <w:szCs w:val="20"/>
                <w:lang w:val="fr-FR"/>
              </w:rPr>
            </w:pPr>
            <w:r w:rsidRPr="005A699F">
              <w:rPr>
                <w:sz w:val="20"/>
                <w:szCs w:val="20"/>
                <w:lang w:val="fr-FR"/>
              </w:rPr>
              <w:t>Leader</w:t>
            </w:r>
            <w:r>
              <w:rPr>
                <w:sz w:val="20"/>
                <w:szCs w:val="20"/>
                <w:lang w:val="fr-FR"/>
              </w:rPr>
              <w:t>s</w:t>
            </w:r>
            <w:r w:rsidRPr="005A699F">
              <w:rPr>
                <w:sz w:val="20"/>
                <w:szCs w:val="20"/>
                <w:lang w:val="fr-FR"/>
              </w:rPr>
              <w:t xml:space="preserve"> religieux, leader</w:t>
            </w:r>
            <w:r>
              <w:rPr>
                <w:sz w:val="20"/>
                <w:szCs w:val="20"/>
                <w:lang w:val="fr-FR"/>
              </w:rPr>
              <w:t>s</w:t>
            </w:r>
            <w:r w:rsidRPr="005A699F">
              <w:rPr>
                <w:sz w:val="20"/>
                <w:szCs w:val="20"/>
                <w:lang w:val="fr-FR"/>
              </w:rPr>
              <w:t xml:space="preserve"> communautaire</w:t>
            </w:r>
            <w:r>
              <w:rPr>
                <w:sz w:val="20"/>
                <w:szCs w:val="20"/>
                <w:lang w:val="fr-FR"/>
              </w:rPr>
              <w:t>s</w:t>
            </w:r>
          </w:p>
          <w:p w:rsidR="0072080A" w:rsidRPr="005A699F" w:rsidRDefault="0072080A" w:rsidP="0072080A">
            <w:pPr>
              <w:pStyle w:val="Paragraphedeliste"/>
              <w:numPr>
                <w:ilvl w:val="0"/>
                <w:numId w:val="6"/>
              </w:numPr>
              <w:spacing w:after="0"/>
              <w:rPr>
                <w:sz w:val="20"/>
                <w:szCs w:val="20"/>
                <w:lang w:val="fr-FR"/>
              </w:rPr>
            </w:pPr>
            <w:r w:rsidRPr="005A699F">
              <w:rPr>
                <w:sz w:val="20"/>
                <w:szCs w:val="20"/>
                <w:lang w:val="fr-FR"/>
              </w:rPr>
              <w:t>Décideurs de l’administration publique ou politique</w:t>
            </w:r>
          </w:p>
          <w:p w:rsidR="0072080A" w:rsidRPr="0028656A" w:rsidRDefault="0072080A" w:rsidP="0072080A">
            <w:pPr>
              <w:pStyle w:val="Paragraphedeliste"/>
              <w:numPr>
                <w:ilvl w:val="0"/>
                <w:numId w:val="6"/>
              </w:numPr>
              <w:spacing w:after="0"/>
              <w:rPr>
                <w:sz w:val="20"/>
                <w:szCs w:val="20"/>
                <w:lang w:val="fr-FR"/>
              </w:rPr>
            </w:pPr>
            <w:r w:rsidRPr="0028656A">
              <w:rPr>
                <w:sz w:val="20"/>
                <w:szCs w:val="20"/>
                <w:lang w:val="fr-FR"/>
              </w:rPr>
              <w:t>Etudiant</w:t>
            </w:r>
            <w:r w:rsidR="00113709">
              <w:rPr>
                <w:sz w:val="20"/>
                <w:szCs w:val="20"/>
                <w:lang w:val="fr-FR"/>
              </w:rPr>
              <w:t>, universitaires, enseignants</w:t>
            </w:r>
          </w:p>
          <w:p w:rsidR="0072080A" w:rsidRPr="005A699F" w:rsidRDefault="0072080A" w:rsidP="00001895">
            <w:pPr>
              <w:spacing w:after="0"/>
              <w:rPr>
                <w:sz w:val="20"/>
                <w:szCs w:val="20"/>
                <w:lang w:val="fr-FR"/>
              </w:rPr>
            </w:pPr>
          </w:p>
          <w:p w:rsidR="005164C3" w:rsidRPr="005A699F" w:rsidRDefault="005164C3" w:rsidP="00001895">
            <w:pPr>
              <w:spacing w:after="0"/>
              <w:rPr>
                <w:sz w:val="20"/>
                <w:szCs w:val="20"/>
                <w:lang w:val="fr-FR"/>
              </w:rPr>
            </w:pPr>
          </w:p>
          <w:p w:rsidR="00F51547" w:rsidRPr="005A699F" w:rsidRDefault="00FD135F" w:rsidP="005A699F">
            <w:pPr>
              <w:pStyle w:val="Paragraphedeliste"/>
              <w:numPr>
                <w:ilvl w:val="0"/>
                <w:numId w:val="4"/>
              </w:numPr>
              <w:spacing w:after="0"/>
              <w:ind w:left="360"/>
              <w:rPr>
                <w:sz w:val="20"/>
                <w:szCs w:val="20"/>
                <w:lang w:val="fr-FR"/>
              </w:rPr>
            </w:pPr>
            <w:r w:rsidRPr="005A699F">
              <w:rPr>
                <w:b/>
                <w:sz w:val="20"/>
                <w:szCs w:val="20"/>
                <w:u w:val="single"/>
                <w:lang w:val="fr-FR"/>
              </w:rPr>
              <w:t>Formés</w:t>
            </w:r>
            <w:r w:rsidRPr="005A699F">
              <w:rPr>
                <w:sz w:val="20"/>
                <w:szCs w:val="20"/>
                <w:lang w:val="fr-FR"/>
              </w:rPr>
              <w:t xml:space="preserve"> : professionnels de la justice juvénile ou décideurs </w:t>
            </w:r>
            <w:r w:rsidR="00E57B7E">
              <w:rPr>
                <w:sz w:val="20"/>
                <w:szCs w:val="20"/>
                <w:lang w:val="fr-FR"/>
              </w:rPr>
              <w:t xml:space="preserve">ayant </w:t>
            </w:r>
            <w:r w:rsidR="00F21E85">
              <w:rPr>
                <w:sz w:val="20"/>
                <w:szCs w:val="20"/>
                <w:lang w:val="fr-FR"/>
              </w:rPr>
              <w:t xml:space="preserve">réussi les tests de validation de la </w:t>
            </w:r>
            <w:r w:rsidRPr="005A699F">
              <w:rPr>
                <w:sz w:val="20"/>
                <w:szCs w:val="20"/>
                <w:lang w:val="fr-FR"/>
              </w:rPr>
              <w:t xml:space="preserve">formation. Le </w:t>
            </w:r>
            <w:r w:rsidR="005164C3" w:rsidRPr="005A699F">
              <w:rPr>
                <w:sz w:val="20"/>
                <w:szCs w:val="20"/>
                <w:lang w:val="fr-FR"/>
              </w:rPr>
              <w:t>standard minimum pour dire que c’est une formation</w:t>
            </w:r>
            <w:r w:rsidR="00F51547" w:rsidRPr="005A699F">
              <w:rPr>
                <w:sz w:val="20"/>
                <w:szCs w:val="20"/>
                <w:lang w:val="fr-FR"/>
              </w:rPr>
              <w:t xml:space="preserve">, les objectifs doivent être </w:t>
            </w:r>
            <w:r w:rsidR="00F51547" w:rsidRPr="0028656A">
              <w:rPr>
                <w:sz w:val="20"/>
                <w:szCs w:val="20"/>
                <w:u w:val="single"/>
                <w:lang w:val="fr-FR"/>
              </w:rPr>
              <w:t>au minimum (a+b)</w:t>
            </w:r>
            <w:r w:rsidR="00F51547" w:rsidRPr="005A699F">
              <w:rPr>
                <w:sz w:val="20"/>
                <w:szCs w:val="20"/>
                <w:lang w:val="fr-FR"/>
              </w:rPr>
              <w:t> :</w:t>
            </w:r>
          </w:p>
          <w:p w:rsidR="00F51547" w:rsidRPr="005A699F" w:rsidRDefault="00242BEA" w:rsidP="005A699F">
            <w:pPr>
              <w:pStyle w:val="Paragraphedeliste"/>
              <w:numPr>
                <w:ilvl w:val="1"/>
                <w:numId w:val="4"/>
              </w:numPr>
              <w:spacing w:after="0"/>
              <w:ind w:left="1080"/>
              <w:rPr>
                <w:sz w:val="20"/>
                <w:szCs w:val="20"/>
                <w:lang w:val="fr-FR"/>
              </w:rPr>
            </w:pPr>
            <w:r w:rsidRPr="00242BEA">
              <w:rPr>
                <w:b/>
                <w:sz w:val="20"/>
                <w:szCs w:val="20"/>
                <w:lang w:val="fr-FR"/>
              </w:rPr>
              <w:t>L’acquisition</w:t>
            </w:r>
            <w:r w:rsidR="00F51547" w:rsidRPr="00242BEA">
              <w:rPr>
                <w:b/>
                <w:sz w:val="20"/>
                <w:szCs w:val="20"/>
                <w:lang w:val="fr-FR"/>
              </w:rPr>
              <w:t xml:space="preserve"> d’un savoir</w:t>
            </w:r>
            <w:r w:rsidR="00F51547" w:rsidRPr="005A699F">
              <w:rPr>
                <w:sz w:val="20"/>
                <w:szCs w:val="20"/>
                <w:lang w:val="fr-FR"/>
              </w:rPr>
              <w:t xml:space="preserve"> et </w:t>
            </w:r>
          </w:p>
          <w:p w:rsidR="00F51547" w:rsidRPr="005A699F" w:rsidRDefault="00242BEA" w:rsidP="005A699F">
            <w:pPr>
              <w:pStyle w:val="Paragraphedeliste"/>
              <w:numPr>
                <w:ilvl w:val="1"/>
                <w:numId w:val="4"/>
              </w:numPr>
              <w:spacing w:after="0"/>
              <w:ind w:left="1080"/>
              <w:rPr>
                <w:sz w:val="20"/>
                <w:szCs w:val="20"/>
                <w:lang w:val="fr-FR"/>
              </w:rPr>
            </w:pPr>
            <w:r w:rsidRPr="005A699F">
              <w:rPr>
                <w:sz w:val="20"/>
                <w:szCs w:val="20"/>
                <w:lang w:val="fr-FR"/>
              </w:rPr>
              <w:t>La</w:t>
            </w:r>
            <w:r w:rsidR="00F51547" w:rsidRPr="005A699F">
              <w:rPr>
                <w:sz w:val="20"/>
                <w:szCs w:val="20"/>
                <w:lang w:val="fr-FR"/>
              </w:rPr>
              <w:t xml:space="preserve"> </w:t>
            </w:r>
            <w:r w:rsidR="00F51547" w:rsidRPr="00242BEA">
              <w:rPr>
                <w:b/>
                <w:sz w:val="20"/>
                <w:szCs w:val="20"/>
                <w:lang w:val="fr-FR"/>
              </w:rPr>
              <w:t>modification d’une attitude</w:t>
            </w:r>
            <w:r w:rsidR="00F51547" w:rsidRPr="005A699F">
              <w:rPr>
                <w:sz w:val="20"/>
                <w:szCs w:val="20"/>
                <w:lang w:val="fr-FR"/>
              </w:rPr>
              <w:t>, et éventuellement</w:t>
            </w:r>
            <w:r w:rsidR="00267F88" w:rsidRPr="005A699F">
              <w:rPr>
                <w:sz w:val="20"/>
                <w:szCs w:val="20"/>
                <w:lang w:val="fr-FR"/>
              </w:rPr>
              <w:t xml:space="preserve"> </w:t>
            </w:r>
          </w:p>
          <w:p w:rsidR="00F51547" w:rsidRPr="005A699F" w:rsidRDefault="002057D1" w:rsidP="005A699F">
            <w:pPr>
              <w:pStyle w:val="Paragraphedeliste"/>
              <w:numPr>
                <w:ilvl w:val="1"/>
                <w:numId w:val="4"/>
              </w:numPr>
              <w:spacing w:after="0"/>
              <w:ind w:left="1080"/>
              <w:rPr>
                <w:sz w:val="20"/>
                <w:szCs w:val="20"/>
                <w:lang w:val="fr-FR"/>
              </w:rPr>
            </w:pPr>
            <w:r>
              <w:rPr>
                <w:sz w:val="20"/>
                <w:szCs w:val="20"/>
                <w:lang w:val="fr-FR"/>
              </w:rPr>
              <w:t xml:space="preserve">Et si possible, </w:t>
            </w:r>
            <w:r w:rsidR="00267F88" w:rsidRPr="00242BEA">
              <w:rPr>
                <w:b/>
                <w:sz w:val="20"/>
                <w:szCs w:val="20"/>
                <w:lang w:val="fr-FR"/>
              </w:rPr>
              <w:t>un changement de pratique</w:t>
            </w:r>
            <w:r>
              <w:rPr>
                <w:sz w:val="20"/>
                <w:szCs w:val="20"/>
                <w:lang w:val="fr-FR"/>
              </w:rPr>
              <w:t xml:space="preserve"> à vérifier sur le long terme</w:t>
            </w:r>
            <w:r w:rsidR="00242BEA">
              <w:rPr>
                <w:sz w:val="20"/>
                <w:szCs w:val="20"/>
                <w:lang w:val="fr-FR"/>
              </w:rPr>
              <w:t xml:space="preserve"> </w:t>
            </w:r>
            <w:r>
              <w:rPr>
                <w:sz w:val="20"/>
                <w:szCs w:val="20"/>
                <w:lang w:val="fr-FR"/>
              </w:rPr>
              <w:t>(comment les participants appliquent ce qu’ils ont appris)</w:t>
            </w:r>
            <w:r w:rsidR="00267F88" w:rsidRPr="005A699F">
              <w:rPr>
                <w:sz w:val="20"/>
                <w:szCs w:val="20"/>
                <w:lang w:val="fr-FR"/>
              </w:rPr>
              <w:t xml:space="preserve">. </w:t>
            </w:r>
          </w:p>
          <w:p w:rsidR="00786998" w:rsidRDefault="00786998" w:rsidP="005A699F">
            <w:pPr>
              <w:spacing w:after="0"/>
              <w:ind w:left="348"/>
              <w:rPr>
                <w:sz w:val="20"/>
                <w:szCs w:val="20"/>
                <w:lang w:val="fr-FR"/>
              </w:rPr>
            </w:pPr>
            <w:r w:rsidRPr="00786998">
              <w:rPr>
                <w:sz w:val="20"/>
                <w:szCs w:val="20"/>
                <w:lang w:val="fr-FR"/>
              </w:rPr>
              <w:t xml:space="preserve">Les formations s’organisent idéalement par cycle et sont structurées sur un programme préétabli qui énoncera des objectifs pédagogiques précis adapté au public.  </w:t>
            </w:r>
          </w:p>
          <w:p w:rsidR="00786998" w:rsidRPr="00786998" w:rsidRDefault="00786998" w:rsidP="005A699F">
            <w:pPr>
              <w:spacing w:after="0"/>
              <w:ind w:left="348"/>
              <w:rPr>
                <w:sz w:val="20"/>
                <w:szCs w:val="20"/>
                <w:lang w:val="fr-FR"/>
              </w:rPr>
            </w:pPr>
          </w:p>
          <w:p w:rsidR="00F51547" w:rsidRDefault="00F51547" w:rsidP="005A699F">
            <w:pPr>
              <w:spacing w:after="0"/>
              <w:ind w:left="348"/>
              <w:rPr>
                <w:sz w:val="20"/>
                <w:szCs w:val="20"/>
                <w:lang w:val="fr-FR"/>
              </w:rPr>
            </w:pPr>
            <w:r w:rsidRPr="005A699F">
              <w:rPr>
                <w:b/>
                <w:sz w:val="20"/>
                <w:szCs w:val="20"/>
                <w:lang w:val="fr-FR"/>
              </w:rPr>
              <w:t xml:space="preserve">L’acquisition de ce savoir, de cette attitude et/ou de cette pratique </w:t>
            </w:r>
            <w:r w:rsidR="00267F88" w:rsidRPr="005A699F">
              <w:rPr>
                <w:b/>
                <w:sz w:val="20"/>
                <w:szCs w:val="20"/>
                <w:lang w:val="fr-FR"/>
              </w:rPr>
              <w:t>doi</w:t>
            </w:r>
            <w:r w:rsidRPr="005A699F">
              <w:rPr>
                <w:b/>
                <w:sz w:val="20"/>
                <w:szCs w:val="20"/>
                <w:lang w:val="fr-FR"/>
              </w:rPr>
              <w:t>ven</w:t>
            </w:r>
            <w:r w:rsidR="00267F88" w:rsidRPr="005A699F">
              <w:rPr>
                <w:b/>
                <w:sz w:val="20"/>
                <w:szCs w:val="20"/>
                <w:lang w:val="fr-FR"/>
              </w:rPr>
              <w:t>t être mesuré</w:t>
            </w:r>
            <w:r w:rsidRPr="005A699F">
              <w:rPr>
                <w:b/>
                <w:sz w:val="20"/>
                <w:szCs w:val="20"/>
                <w:lang w:val="fr-FR"/>
              </w:rPr>
              <w:t>s</w:t>
            </w:r>
            <w:r w:rsidR="00267F88" w:rsidRPr="005A699F">
              <w:rPr>
                <w:b/>
                <w:sz w:val="20"/>
                <w:szCs w:val="20"/>
                <w:lang w:val="fr-FR"/>
              </w:rPr>
              <w:t xml:space="preserve"> </w:t>
            </w:r>
            <w:r w:rsidRPr="005A699F">
              <w:rPr>
                <w:b/>
                <w:sz w:val="20"/>
                <w:szCs w:val="20"/>
                <w:lang w:val="fr-FR"/>
              </w:rPr>
              <w:t xml:space="preserve">à la fin de </w:t>
            </w:r>
            <w:r w:rsidR="00267F88" w:rsidRPr="005A699F">
              <w:rPr>
                <w:b/>
                <w:sz w:val="20"/>
                <w:szCs w:val="20"/>
                <w:lang w:val="fr-FR"/>
              </w:rPr>
              <w:t>la formation</w:t>
            </w:r>
            <w:r w:rsidR="00267F88" w:rsidRPr="005A699F">
              <w:rPr>
                <w:sz w:val="20"/>
                <w:szCs w:val="20"/>
                <w:lang w:val="fr-FR"/>
              </w:rPr>
              <w:t xml:space="preserve">. </w:t>
            </w:r>
          </w:p>
          <w:p w:rsidR="00786998" w:rsidRPr="005A699F" w:rsidRDefault="00786998" w:rsidP="005A699F">
            <w:pPr>
              <w:spacing w:after="0"/>
              <w:ind w:left="348"/>
              <w:rPr>
                <w:sz w:val="20"/>
                <w:szCs w:val="20"/>
                <w:lang w:val="fr-FR"/>
              </w:rPr>
            </w:pPr>
          </w:p>
          <w:p w:rsidR="00FD135F" w:rsidRPr="005A699F" w:rsidRDefault="00242BEA" w:rsidP="00E57B7E">
            <w:pPr>
              <w:spacing w:after="0"/>
              <w:ind w:left="317"/>
              <w:rPr>
                <w:sz w:val="20"/>
                <w:szCs w:val="20"/>
                <w:lang w:val="fr-FR"/>
              </w:rPr>
            </w:pPr>
            <w:r w:rsidRPr="005A699F">
              <w:rPr>
                <w:sz w:val="20"/>
                <w:szCs w:val="20"/>
                <w:lang w:val="fr-FR"/>
              </w:rPr>
              <w:t>En termes de</w:t>
            </w:r>
            <w:r w:rsidR="00267F88" w:rsidRPr="005A699F">
              <w:rPr>
                <w:sz w:val="20"/>
                <w:szCs w:val="20"/>
                <w:lang w:val="fr-FR"/>
              </w:rPr>
              <w:t xml:space="preserve"> contenu, la formation doit porter sur un ou plusieurs des </w:t>
            </w:r>
            <w:r w:rsidR="00FD135F" w:rsidRPr="005A699F">
              <w:rPr>
                <w:sz w:val="20"/>
                <w:szCs w:val="20"/>
                <w:lang w:val="fr-FR"/>
              </w:rPr>
              <w:t>suivants :</w:t>
            </w:r>
          </w:p>
          <w:p w:rsidR="005164C3" w:rsidRPr="005A699F" w:rsidRDefault="00FD135F" w:rsidP="005A699F">
            <w:pPr>
              <w:pStyle w:val="Paragraphedeliste"/>
              <w:numPr>
                <w:ilvl w:val="0"/>
                <w:numId w:val="5"/>
              </w:numPr>
              <w:spacing w:after="0"/>
              <w:ind w:left="708"/>
              <w:rPr>
                <w:sz w:val="20"/>
                <w:szCs w:val="20"/>
                <w:lang w:val="fr-FR"/>
              </w:rPr>
            </w:pPr>
            <w:r w:rsidRPr="005A699F">
              <w:rPr>
                <w:sz w:val="20"/>
                <w:szCs w:val="20"/>
                <w:lang w:val="fr-FR"/>
              </w:rPr>
              <w:t>Standards internationaux de la justice juvénile</w:t>
            </w:r>
            <w:r w:rsidR="00CD7E23" w:rsidRPr="005A699F">
              <w:rPr>
                <w:sz w:val="20"/>
                <w:szCs w:val="20"/>
                <w:lang w:val="fr-FR"/>
              </w:rPr>
              <w:t>.</w:t>
            </w:r>
          </w:p>
          <w:p w:rsidR="00FD135F" w:rsidRPr="005A699F" w:rsidRDefault="00FD135F" w:rsidP="005A699F">
            <w:pPr>
              <w:pStyle w:val="Paragraphedeliste"/>
              <w:numPr>
                <w:ilvl w:val="0"/>
                <w:numId w:val="5"/>
              </w:numPr>
              <w:spacing w:after="0"/>
              <w:ind w:left="708"/>
              <w:rPr>
                <w:sz w:val="20"/>
                <w:szCs w:val="20"/>
                <w:lang w:val="fr-FR"/>
              </w:rPr>
            </w:pPr>
            <w:r w:rsidRPr="005A699F">
              <w:rPr>
                <w:sz w:val="20"/>
                <w:szCs w:val="20"/>
                <w:lang w:val="fr-FR"/>
              </w:rPr>
              <w:lastRenderedPageBreak/>
              <w:t>Développement de l’enfant</w:t>
            </w:r>
            <w:r w:rsidR="00CD7E23" w:rsidRPr="005A699F">
              <w:rPr>
                <w:sz w:val="20"/>
                <w:szCs w:val="20"/>
                <w:lang w:val="fr-FR"/>
              </w:rPr>
              <w:t>.</w:t>
            </w:r>
          </w:p>
          <w:p w:rsidR="00FD135F" w:rsidRPr="005A699F" w:rsidRDefault="00FD135F" w:rsidP="005A699F">
            <w:pPr>
              <w:pStyle w:val="Paragraphedeliste"/>
              <w:numPr>
                <w:ilvl w:val="0"/>
                <w:numId w:val="5"/>
              </w:numPr>
              <w:spacing w:after="0"/>
              <w:ind w:left="708"/>
              <w:rPr>
                <w:sz w:val="20"/>
                <w:szCs w:val="20"/>
                <w:lang w:val="fr-FR"/>
              </w:rPr>
            </w:pPr>
            <w:r w:rsidRPr="005A699F">
              <w:rPr>
                <w:sz w:val="20"/>
                <w:szCs w:val="20"/>
                <w:lang w:val="fr-FR"/>
              </w:rPr>
              <w:t>Procédures, traitement et sanctions adaptés aux enfants</w:t>
            </w:r>
            <w:r w:rsidR="00CD7E23" w:rsidRPr="005A699F">
              <w:rPr>
                <w:sz w:val="20"/>
                <w:szCs w:val="20"/>
                <w:lang w:val="fr-FR"/>
              </w:rPr>
              <w:t>.</w:t>
            </w:r>
          </w:p>
          <w:p w:rsidR="00FD135F" w:rsidRDefault="00FD135F" w:rsidP="005A699F">
            <w:pPr>
              <w:pStyle w:val="Paragraphedeliste"/>
              <w:numPr>
                <w:ilvl w:val="0"/>
                <w:numId w:val="5"/>
              </w:numPr>
              <w:spacing w:after="0"/>
              <w:ind w:left="708"/>
              <w:rPr>
                <w:sz w:val="20"/>
                <w:szCs w:val="20"/>
                <w:lang w:val="fr-FR"/>
              </w:rPr>
            </w:pPr>
            <w:r w:rsidRPr="005A699F">
              <w:rPr>
                <w:sz w:val="20"/>
                <w:szCs w:val="20"/>
                <w:lang w:val="fr-FR"/>
              </w:rPr>
              <w:t>Justice restauratrice et ses principes.</w:t>
            </w:r>
          </w:p>
          <w:p w:rsidR="00786998" w:rsidRPr="005A699F" w:rsidRDefault="00786998" w:rsidP="00242BEA">
            <w:pPr>
              <w:pStyle w:val="Paragraphedeliste"/>
              <w:spacing w:after="0"/>
              <w:ind w:left="1068"/>
              <w:rPr>
                <w:sz w:val="20"/>
                <w:szCs w:val="20"/>
                <w:lang w:val="fr-FR"/>
              </w:rPr>
            </w:pPr>
          </w:p>
          <w:p w:rsidR="005164C3" w:rsidRPr="005A699F" w:rsidRDefault="00602423" w:rsidP="00EB0E66">
            <w:pPr>
              <w:spacing w:after="0"/>
              <w:rPr>
                <w:sz w:val="20"/>
                <w:szCs w:val="20"/>
                <w:lang w:val="fr-FR"/>
              </w:rPr>
            </w:pPr>
            <w:r>
              <w:rPr>
                <w:b/>
                <w:u w:val="single"/>
                <w:lang w:val="fr-FR"/>
              </w:rPr>
              <w:t xml:space="preserve">2) </w:t>
            </w:r>
            <w:r w:rsidR="005164C3" w:rsidRPr="005A699F">
              <w:rPr>
                <w:b/>
                <w:sz w:val="20"/>
                <w:szCs w:val="20"/>
                <w:u w:val="single"/>
                <w:lang w:val="fr-FR"/>
              </w:rPr>
              <w:t>Sensibilisés</w:t>
            </w:r>
            <w:r w:rsidR="005164C3" w:rsidRPr="005A699F">
              <w:rPr>
                <w:sz w:val="20"/>
                <w:szCs w:val="20"/>
                <w:lang w:val="fr-FR"/>
              </w:rPr>
              <w:t xml:space="preserve"> : </w:t>
            </w:r>
            <w:r w:rsidR="00FD135F" w:rsidRPr="005A699F">
              <w:rPr>
                <w:sz w:val="20"/>
                <w:szCs w:val="20"/>
                <w:lang w:val="fr-FR"/>
              </w:rPr>
              <w:t>tout</w:t>
            </w:r>
            <w:r w:rsidR="00267F88" w:rsidRPr="005A699F">
              <w:rPr>
                <w:sz w:val="20"/>
                <w:szCs w:val="20"/>
                <w:lang w:val="fr-FR"/>
              </w:rPr>
              <w:t xml:space="preserve">e session </w:t>
            </w:r>
            <w:r w:rsidR="000015A2" w:rsidRPr="005A699F">
              <w:rPr>
                <w:sz w:val="20"/>
                <w:szCs w:val="20"/>
                <w:lang w:val="fr-FR"/>
              </w:rPr>
              <w:t>d’au moins une demi-journée visant</w:t>
            </w:r>
            <w:r w:rsidR="00F26277">
              <w:rPr>
                <w:sz w:val="20"/>
                <w:szCs w:val="20"/>
                <w:lang w:val="fr-FR"/>
              </w:rPr>
              <w:t xml:space="preserve"> </w:t>
            </w:r>
            <w:r w:rsidR="00F26277" w:rsidRPr="0072080A">
              <w:rPr>
                <w:sz w:val="20"/>
                <w:szCs w:val="20"/>
                <w:lang w:val="fr-FR"/>
              </w:rPr>
              <w:t>à « rendre sensible » sur un thème, à</w:t>
            </w:r>
            <w:r w:rsidR="000015A2" w:rsidRPr="005A699F">
              <w:rPr>
                <w:sz w:val="20"/>
                <w:szCs w:val="20"/>
                <w:lang w:val="fr-FR"/>
              </w:rPr>
              <w:t xml:space="preserve"> l’acquisition de savoir</w:t>
            </w:r>
            <w:r w:rsidR="00E57B7E">
              <w:rPr>
                <w:sz w:val="20"/>
                <w:szCs w:val="20"/>
                <w:lang w:val="fr-FR"/>
              </w:rPr>
              <w:t>s</w:t>
            </w:r>
            <w:r w:rsidR="000015A2" w:rsidRPr="005A699F">
              <w:rPr>
                <w:sz w:val="20"/>
                <w:szCs w:val="20"/>
                <w:lang w:val="fr-FR"/>
              </w:rPr>
              <w:t xml:space="preserve"> seul</w:t>
            </w:r>
            <w:r w:rsidR="00E57B7E">
              <w:rPr>
                <w:sz w:val="20"/>
                <w:szCs w:val="20"/>
                <w:lang w:val="fr-FR"/>
              </w:rPr>
              <w:t xml:space="preserve">, de mobilisation sur une </w:t>
            </w:r>
            <w:r w:rsidR="00242BEA">
              <w:rPr>
                <w:sz w:val="20"/>
                <w:szCs w:val="20"/>
                <w:lang w:val="fr-FR"/>
              </w:rPr>
              <w:t xml:space="preserve">thématique, </w:t>
            </w:r>
            <w:r w:rsidR="00242BEA" w:rsidRPr="005A699F">
              <w:rPr>
                <w:sz w:val="20"/>
                <w:szCs w:val="20"/>
                <w:lang w:val="fr-FR"/>
              </w:rPr>
              <w:t>et</w:t>
            </w:r>
            <w:r w:rsidR="000015A2" w:rsidRPr="005A699F">
              <w:rPr>
                <w:sz w:val="20"/>
                <w:szCs w:val="20"/>
                <w:lang w:val="fr-FR"/>
              </w:rPr>
              <w:t xml:space="preserve"> </w:t>
            </w:r>
            <w:r w:rsidR="00267F88" w:rsidRPr="005A699F">
              <w:rPr>
                <w:sz w:val="20"/>
                <w:szCs w:val="20"/>
                <w:lang w:val="fr-FR"/>
              </w:rPr>
              <w:t>s’adressant à des</w:t>
            </w:r>
            <w:r w:rsidR="00146945" w:rsidRPr="005A699F">
              <w:rPr>
                <w:sz w:val="20"/>
                <w:szCs w:val="20"/>
                <w:lang w:val="fr-FR"/>
              </w:rPr>
              <w:t xml:space="preserve"> professionnel</w:t>
            </w:r>
            <w:r w:rsidR="00267F88" w:rsidRPr="005A699F">
              <w:rPr>
                <w:sz w:val="20"/>
                <w:szCs w:val="20"/>
                <w:lang w:val="fr-FR"/>
              </w:rPr>
              <w:t>s</w:t>
            </w:r>
            <w:r w:rsidR="008D2F99">
              <w:rPr>
                <w:sz w:val="20"/>
                <w:szCs w:val="20"/>
                <w:lang w:val="fr-FR"/>
              </w:rPr>
              <w:t xml:space="preserve"> (pas </w:t>
            </w:r>
            <w:r w:rsidR="00EB0E66">
              <w:rPr>
                <w:sz w:val="20"/>
                <w:szCs w:val="20"/>
                <w:lang w:val="fr-FR"/>
              </w:rPr>
              <w:t>uniquement</w:t>
            </w:r>
            <w:r w:rsidR="008D2F99">
              <w:rPr>
                <w:sz w:val="20"/>
                <w:szCs w:val="20"/>
                <w:lang w:val="fr-FR"/>
              </w:rPr>
              <w:t xml:space="preserve"> professionnels de la justice, mais aussi journalistes, leaders d’opinion, décideurs politiques, leaders religieux, leaders communautaires, leaders juvéniles, etc</w:t>
            </w:r>
            <w:r w:rsidR="00EB0E66">
              <w:rPr>
                <w:sz w:val="20"/>
                <w:szCs w:val="20"/>
                <w:lang w:val="fr-FR"/>
              </w:rPr>
              <w:t>.</w:t>
            </w:r>
            <w:r w:rsidR="008D2F99">
              <w:rPr>
                <w:sz w:val="20"/>
                <w:szCs w:val="20"/>
                <w:lang w:val="fr-FR"/>
              </w:rPr>
              <w:t>)</w:t>
            </w:r>
            <w:r w:rsidR="00146945" w:rsidRPr="005A699F">
              <w:rPr>
                <w:sz w:val="20"/>
                <w:szCs w:val="20"/>
                <w:lang w:val="fr-FR"/>
              </w:rPr>
              <w:t xml:space="preserve"> </w:t>
            </w:r>
            <w:r w:rsidR="00267F88" w:rsidRPr="005A699F">
              <w:rPr>
                <w:sz w:val="20"/>
                <w:szCs w:val="20"/>
                <w:lang w:val="fr-FR"/>
              </w:rPr>
              <w:t xml:space="preserve">sur un ou plusieurs des </w:t>
            </w:r>
            <w:r w:rsidR="00FD135F" w:rsidRPr="005A699F">
              <w:rPr>
                <w:sz w:val="20"/>
                <w:szCs w:val="20"/>
                <w:lang w:val="fr-FR"/>
              </w:rPr>
              <w:t>thèmes ci-dessus</w:t>
            </w:r>
            <w:r w:rsidR="00977946" w:rsidRPr="005A699F">
              <w:rPr>
                <w:sz w:val="20"/>
                <w:szCs w:val="20"/>
                <w:lang w:val="fr-FR"/>
              </w:rPr>
              <w:t xml:space="preserve"> et dont l’objectif est l’exposition à ces thèmes</w:t>
            </w:r>
            <w:r w:rsidR="00FD135F" w:rsidRPr="005A699F">
              <w:rPr>
                <w:sz w:val="20"/>
                <w:szCs w:val="20"/>
                <w:lang w:val="fr-FR"/>
              </w:rPr>
              <w:t>.</w:t>
            </w:r>
            <w:r w:rsidR="00E57B7E">
              <w:rPr>
                <w:sz w:val="20"/>
                <w:szCs w:val="20"/>
                <w:lang w:val="fr-FR"/>
              </w:rPr>
              <w:t xml:space="preserve"> </w:t>
            </w:r>
            <w:r w:rsidR="008738AB">
              <w:rPr>
                <w:lang w:val="fr-FR"/>
              </w:rPr>
              <w:t xml:space="preserve">Ici, </w:t>
            </w:r>
            <w:r w:rsidR="008738AB">
              <w:t xml:space="preserve">la transmission de connaissance, qui est généralement moindre que lors d’une formation, on touche donc aux attitudes, aux perceptions, aux valeurs. </w:t>
            </w:r>
            <w:r w:rsidR="00E57B7E">
              <w:rPr>
                <w:sz w:val="20"/>
                <w:szCs w:val="20"/>
                <w:lang w:val="fr-FR"/>
              </w:rPr>
              <w:t xml:space="preserve">Les sensibilisations recourront à des moyens de communication adaptés </w:t>
            </w:r>
            <w:r w:rsidR="00242BEA">
              <w:rPr>
                <w:sz w:val="20"/>
                <w:szCs w:val="20"/>
                <w:lang w:val="fr-FR"/>
              </w:rPr>
              <w:t>au public</w:t>
            </w:r>
            <w:r w:rsidR="00E57B7E">
              <w:rPr>
                <w:sz w:val="20"/>
                <w:szCs w:val="20"/>
                <w:lang w:val="fr-FR"/>
              </w:rPr>
              <w:t xml:space="preserve"> pour « </w:t>
            </w:r>
            <w:r w:rsidR="00242BEA">
              <w:rPr>
                <w:sz w:val="20"/>
                <w:szCs w:val="20"/>
                <w:lang w:val="fr-FR"/>
              </w:rPr>
              <w:t>rendre sensible</w:t>
            </w:r>
            <w:r w:rsidR="00E57B7E">
              <w:rPr>
                <w:sz w:val="20"/>
                <w:szCs w:val="20"/>
                <w:lang w:val="fr-FR"/>
              </w:rPr>
              <w:t> » sur un thème donné</w:t>
            </w:r>
            <w:r w:rsidR="00786998">
              <w:rPr>
                <w:sz w:val="20"/>
                <w:szCs w:val="20"/>
                <w:lang w:val="fr-FR"/>
              </w:rPr>
              <w:t xml:space="preserve"> (voir plus haut</w:t>
            </w:r>
            <w:r w:rsidR="00242BEA">
              <w:rPr>
                <w:sz w:val="20"/>
                <w:szCs w:val="20"/>
                <w:lang w:val="fr-FR"/>
              </w:rPr>
              <w:t>). -</w:t>
            </w:r>
            <w:r w:rsidR="00F21E85">
              <w:rPr>
                <w:sz w:val="20"/>
                <w:szCs w:val="20"/>
                <w:lang w:val="fr-FR"/>
              </w:rPr>
              <w:t>&gt; Si une personne participe à une formation et</w:t>
            </w:r>
            <w:r w:rsidR="0081150C">
              <w:rPr>
                <w:sz w:val="20"/>
                <w:szCs w:val="20"/>
                <w:lang w:val="fr-FR"/>
              </w:rPr>
              <w:t xml:space="preserve"> </w:t>
            </w:r>
            <w:r w:rsidR="0081150C" w:rsidRPr="0028656A">
              <w:rPr>
                <w:i/>
                <w:sz w:val="20"/>
                <w:szCs w:val="20"/>
                <w:lang w:val="fr-FR"/>
              </w:rPr>
              <w:t>en plus</w:t>
            </w:r>
            <w:r w:rsidR="00F21E85">
              <w:rPr>
                <w:sz w:val="20"/>
                <w:szCs w:val="20"/>
                <w:lang w:val="fr-FR"/>
              </w:rPr>
              <w:t xml:space="preserve"> à une sensibilisation au cours de l’année, elle </w:t>
            </w:r>
            <w:r w:rsidR="003D215B">
              <w:rPr>
                <w:sz w:val="20"/>
                <w:szCs w:val="20"/>
                <w:lang w:val="fr-FR"/>
              </w:rPr>
              <w:t>ne peut être comptée qu’une seule fois</w:t>
            </w:r>
            <w:r w:rsidR="00F21E85">
              <w:rPr>
                <w:sz w:val="20"/>
                <w:szCs w:val="20"/>
                <w:lang w:val="fr-FR"/>
              </w:rPr>
              <w:t>.</w:t>
            </w:r>
            <w:r w:rsidR="0081150C">
              <w:rPr>
                <w:sz w:val="20"/>
                <w:szCs w:val="20"/>
                <w:lang w:val="fr-FR"/>
              </w:rPr>
              <w:t xml:space="preserve"> </w:t>
            </w:r>
          </w:p>
        </w:tc>
      </w:tr>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1895" w:rsidRDefault="00001895" w:rsidP="007C5451">
            <w:pPr>
              <w:tabs>
                <w:tab w:val="left" w:pos="3960"/>
              </w:tabs>
              <w:spacing w:after="120" w:line="240" w:lineRule="auto"/>
              <w:rPr>
                <w:rFonts w:ascii="Calibri" w:eastAsia="Calibri" w:hAnsi="Calibri" w:cs="Calibri"/>
                <w:b/>
                <w:bCs/>
                <w:sz w:val="20"/>
                <w:szCs w:val="20"/>
                <w:lang w:val="en-US" w:eastAsia="fr-FR"/>
              </w:rPr>
            </w:pPr>
            <w:r w:rsidRPr="0028656A">
              <w:rPr>
                <w:rFonts w:ascii="Calibri" w:eastAsia="Calibri" w:hAnsi="Calibri" w:cs="Calibri"/>
                <w:b/>
                <w:bCs/>
                <w:sz w:val="20"/>
                <w:szCs w:val="20"/>
                <w:lang w:eastAsia="fr-FR"/>
              </w:rPr>
              <w:lastRenderedPageBreak/>
              <w:t>Ce qu</w:t>
            </w:r>
            <w:r w:rsidRPr="00203871">
              <w:rPr>
                <w:rFonts w:ascii="Calibri" w:eastAsia="Calibri" w:hAnsi="Calibri" w:cs="Calibri"/>
                <w:b/>
                <w:bCs/>
                <w:sz w:val="20"/>
                <w:szCs w:val="20"/>
                <w:lang w:val="en-US" w:eastAsia="fr-FR"/>
              </w:rPr>
              <w:t xml:space="preserve">’il mesure </w:t>
            </w:r>
          </w:p>
          <w:p w:rsidR="00786998" w:rsidRPr="00203871" w:rsidRDefault="00786998" w:rsidP="007C5451">
            <w:pPr>
              <w:tabs>
                <w:tab w:val="left" w:pos="3960"/>
              </w:tabs>
              <w:spacing w:after="120" w:line="240" w:lineRule="auto"/>
              <w:rPr>
                <w:rFonts w:ascii="Calibri" w:eastAsia="Calibri" w:hAnsi="Calibri" w:cs="Calibri"/>
                <w:b/>
                <w:bCs/>
                <w:sz w:val="20"/>
                <w:szCs w:val="20"/>
                <w:lang w:val="en-US" w:eastAsia="fr-FR"/>
              </w:rPr>
            </w:pPr>
            <w:r w:rsidRPr="000F3E6A">
              <w:rPr>
                <w:rFonts w:ascii="Arial" w:hAnsi="Arial" w:cs="Arial"/>
                <w:noProof/>
                <w:sz w:val="18"/>
                <w:szCs w:val="18"/>
                <w:lang w:eastAsia="fr-CH"/>
              </w:rPr>
              <w:drawing>
                <wp:inline distT="0" distB="0" distL="0" distR="0" wp14:anchorId="4950357F" wp14:editId="25213077">
                  <wp:extent cx="486000" cy="486000"/>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700" w:rsidRPr="005A699F" w:rsidRDefault="00052833" w:rsidP="00881700">
            <w:pPr>
              <w:spacing w:after="0"/>
              <w:rPr>
                <w:sz w:val="20"/>
                <w:szCs w:val="20"/>
                <w:lang w:val="fr-FR"/>
              </w:rPr>
            </w:pPr>
            <w:r w:rsidRPr="005A699F">
              <w:rPr>
                <w:sz w:val="20"/>
                <w:szCs w:val="20"/>
                <w:lang w:val="fr-FR"/>
              </w:rPr>
              <w:t xml:space="preserve">Il mesure la capacité de Tdh à partager </w:t>
            </w:r>
            <w:r w:rsidR="006C6D2B" w:rsidRPr="005A699F">
              <w:rPr>
                <w:sz w:val="20"/>
                <w:szCs w:val="20"/>
                <w:lang w:val="fr-FR"/>
              </w:rPr>
              <w:t xml:space="preserve">de façon effective </w:t>
            </w:r>
            <w:r w:rsidRPr="005A699F">
              <w:rPr>
                <w:sz w:val="20"/>
                <w:szCs w:val="20"/>
                <w:lang w:val="fr-FR"/>
              </w:rPr>
              <w:t>une vision de la justice juvénile basée sur les standards internationaux des droits de l’enfant et l’approche restauratrice de la justice.</w:t>
            </w:r>
          </w:p>
          <w:p w:rsidR="005164C3" w:rsidRPr="005A699F" w:rsidRDefault="005164C3" w:rsidP="00E45826">
            <w:pPr>
              <w:spacing w:after="0"/>
              <w:rPr>
                <w:sz w:val="20"/>
                <w:szCs w:val="20"/>
                <w:lang w:val="fr-FR"/>
              </w:rPr>
            </w:pPr>
            <w:r w:rsidRPr="005A699F">
              <w:rPr>
                <w:sz w:val="20"/>
                <w:szCs w:val="20"/>
                <w:lang w:val="fr-FR"/>
              </w:rPr>
              <w:t>Limites</w:t>
            </w:r>
            <w:r w:rsidR="006D0C63" w:rsidRPr="005A699F">
              <w:rPr>
                <w:sz w:val="20"/>
                <w:szCs w:val="20"/>
                <w:lang w:val="fr-FR"/>
              </w:rPr>
              <w:t xml:space="preserve"> : Il </w:t>
            </w:r>
            <w:r w:rsidRPr="005A699F">
              <w:rPr>
                <w:sz w:val="20"/>
                <w:szCs w:val="20"/>
                <w:lang w:val="fr-FR"/>
              </w:rPr>
              <w:t xml:space="preserve">ne dit rien sur </w:t>
            </w:r>
            <w:r w:rsidR="00E45826">
              <w:rPr>
                <w:sz w:val="20"/>
                <w:szCs w:val="20"/>
                <w:lang w:val="fr-FR"/>
              </w:rPr>
              <w:t>le</w:t>
            </w:r>
            <w:r w:rsidRPr="005A699F">
              <w:rPr>
                <w:sz w:val="20"/>
                <w:szCs w:val="20"/>
                <w:lang w:val="fr-FR"/>
              </w:rPr>
              <w:t xml:space="preserve"> changement de pratique</w:t>
            </w:r>
            <w:r w:rsidR="00230EAE" w:rsidRPr="005A699F">
              <w:rPr>
                <w:sz w:val="20"/>
                <w:szCs w:val="20"/>
                <w:lang w:val="fr-FR"/>
              </w:rPr>
              <w:t>s</w:t>
            </w:r>
            <w:r w:rsidR="006C6D2B" w:rsidRPr="005A699F">
              <w:rPr>
                <w:sz w:val="20"/>
                <w:szCs w:val="20"/>
                <w:lang w:val="fr-FR"/>
              </w:rPr>
              <w:t xml:space="preserve"> au-delà de la formation ou de la sensibilisation</w:t>
            </w:r>
            <w:r w:rsidR="00052833" w:rsidRPr="005A699F">
              <w:rPr>
                <w:sz w:val="20"/>
                <w:szCs w:val="20"/>
                <w:lang w:val="fr-FR"/>
              </w:rPr>
              <w:t>.</w:t>
            </w:r>
            <w:r w:rsidR="00786998">
              <w:rPr>
                <w:sz w:val="20"/>
                <w:szCs w:val="20"/>
                <w:lang w:val="fr-FR"/>
              </w:rPr>
              <w:t xml:space="preserve">  C’est donc un indicateur qui renseigne davantage le niveau de prestation (d’effort</w:t>
            </w:r>
            <w:r w:rsidR="0072080A">
              <w:rPr>
                <w:sz w:val="20"/>
                <w:szCs w:val="20"/>
                <w:lang w:val="fr-FR"/>
              </w:rPr>
              <w:t>, ou d’output</w:t>
            </w:r>
            <w:r w:rsidR="00786998">
              <w:rPr>
                <w:sz w:val="20"/>
                <w:szCs w:val="20"/>
                <w:lang w:val="fr-FR"/>
              </w:rPr>
              <w:t xml:space="preserve">) de Tdh, à moins d’être complété par des analyses qualitatives issues des rapports d’évaluation des formations et sensibilisations, ou d’être « croisé » avec d’autres indicateurs. </w:t>
            </w:r>
          </w:p>
        </w:tc>
      </w:tr>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1895" w:rsidRPr="000617FF" w:rsidRDefault="00001895" w:rsidP="007C5451">
            <w:pPr>
              <w:tabs>
                <w:tab w:val="left" w:pos="3960"/>
              </w:tabs>
              <w:spacing w:after="120" w:line="240" w:lineRule="auto"/>
              <w:rPr>
                <w:rFonts w:ascii="Calibri" w:eastAsia="Calibri" w:hAnsi="Calibri" w:cs="Calibri"/>
                <w:b/>
                <w:bCs/>
                <w:sz w:val="20"/>
                <w:szCs w:val="20"/>
                <w:lang w:eastAsia="fr-FR"/>
              </w:rPr>
            </w:pPr>
            <w:r w:rsidRPr="000617FF">
              <w:rPr>
                <w:rFonts w:ascii="Calibri" w:eastAsia="Calibri" w:hAnsi="Calibri" w:cs="Calibri"/>
                <w:b/>
                <w:bCs/>
                <w:sz w:val="20"/>
                <w:szCs w:val="20"/>
                <w:lang w:eastAsia="fr-FR"/>
              </w:rPr>
              <w:t xml:space="preserve">Unité et désagrégation </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945" w:rsidRPr="005A699F" w:rsidRDefault="00146945" w:rsidP="00001895">
            <w:pPr>
              <w:spacing w:after="0"/>
              <w:rPr>
                <w:sz w:val="20"/>
                <w:szCs w:val="20"/>
                <w:lang w:val="fr-FR"/>
              </w:rPr>
            </w:pPr>
            <w:r w:rsidRPr="005A699F">
              <w:rPr>
                <w:sz w:val="20"/>
                <w:szCs w:val="20"/>
                <w:lang w:val="fr-FR"/>
              </w:rPr>
              <w:t>Désagrégation par genre : nombre d’hommes</w:t>
            </w:r>
            <w:r w:rsidR="00E45826">
              <w:rPr>
                <w:sz w:val="20"/>
                <w:szCs w:val="20"/>
                <w:lang w:val="fr-FR"/>
              </w:rPr>
              <w:t xml:space="preserve"> et</w:t>
            </w:r>
            <w:r w:rsidRPr="005A699F">
              <w:rPr>
                <w:sz w:val="20"/>
                <w:szCs w:val="20"/>
                <w:lang w:val="fr-FR"/>
              </w:rPr>
              <w:t xml:space="preserve"> nombre de femmes</w:t>
            </w:r>
            <w:r w:rsidR="00E45826">
              <w:rPr>
                <w:sz w:val="20"/>
                <w:szCs w:val="20"/>
                <w:lang w:val="fr-FR"/>
              </w:rPr>
              <w:t>.</w:t>
            </w:r>
          </w:p>
          <w:p w:rsidR="00267F88" w:rsidRPr="005A699F" w:rsidRDefault="00267F88" w:rsidP="00001895">
            <w:pPr>
              <w:spacing w:after="0"/>
              <w:rPr>
                <w:sz w:val="20"/>
                <w:szCs w:val="20"/>
                <w:lang w:val="fr-FR"/>
              </w:rPr>
            </w:pPr>
            <w:r w:rsidRPr="005A699F">
              <w:rPr>
                <w:sz w:val="20"/>
                <w:szCs w:val="20"/>
                <w:lang w:val="fr-FR"/>
              </w:rPr>
              <w:t>Désagrégation : formation et sensibilisation</w:t>
            </w:r>
            <w:r w:rsidR="00E45826">
              <w:rPr>
                <w:sz w:val="20"/>
                <w:szCs w:val="20"/>
                <w:lang w:val="fr-FR"/>
              </w:rPr>
              <w:t>.</w:t>
            </w:r>
          </w:p>
          <w:p w:rsidR="00001895" w:rsidRPr="005A699F" w:rsidRDefault="00001895" w:rsidP="00001895">
            <w:pPr>
              <w:spacing w:after="0"/>
              <w:rPr>
                <w:sz w:val="20"/>
                <w:szCs w:val="20"/>
                <w:lang w:val="fr-FR"/>
              </w:rPr>
            </w:pPr>
          </w:p>
        </w:tc>
      </w:tr>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1895" w:rsidRPr="00881700" w:rsidRDefault="00001895" w:rsidP="007C5451">
            <w:pPr>
              <w:tabs>
                <w:tab w:val="left" w:pos="3960"/>
              </w:tabs>
              <w:spacing w:after="120" w:line="240" w:lineRule="auto"/>
              <w:rPr>
                <w:rFonts w:ascii="Calibri" w:eastAsia="Calibri" w:hAnsi="Calibri" w:cs="Calibri"/>
                <w:b/>
                <w:bCs/>
                <w:sz w:val="20"/>
                <w:szCs w:val="20"/>
                <w:lang w:eastAsia="fr-FR"/>
              </w:rPr>
            </w:pPr>
            <w:r w:rsidRPr="00881700">
              <w:rPr>
                <w:rFonts w:ascii="Calibri" w:eastAsia="Calibri" w:hAnsi="Calibri" w:cs="Calibri"/>
                <w:b/>
                <w:bCs/>
                <w:sz w:val="20"/>
                <w:szCs w:val="20"/>
                <w:lang w:eastAsia="fr-FR"/>
              </w:rPr>
              <w:t>Mode de calcul</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1895" w:rsidRPr="005A699F" w:rsidRDefault="00A41528" w:rsidP="00A41528">
            <w:pPr>
              <w:spacing w:after="0"/>
              <w:rPr>
                <w:sz w:val="20"/>
                <w:szCs w:val="20"/>
                <w:lang w:val="fr-FR"/>
              </w:rPr>
            </w:pPr>
            <w:r w:rsidRPr="005A699F">
              <w:rPr>
                <w:sz w:val="20"/>
                <w:szCs w:val="20"/>
                <w:lang w:val="fr-FR"/>
              </w:rPr>
              <w:t xml:space="preserve">Formés : Nombre de personnes ayant </w:t>
            </w:r>
            <w:r w:rsidR="00786998">
              <w:rPr>
                <w:sz w:val="20"/>
                <w:szCs w:val="20"/>
                <w:lang w:val="fr-FR"/>
              </w:rPr>
              <w:t xml:space="preserve">complété un cycle de formation </w:t>
            </w:r>
            <w:r w:rsidRPr="0028656A">
              <w:rPr>
                <w:b/>
                <w:sz w:val="20"/>
                <w:szCs w:val="20"/>
                <w:u w:val="single"/>
                <w:lang w:val="fr-FR"/>
              </w:rPr>
              <w:t>validés</w:t>
            </w:r>
            <w:r w:rsidRPr="005A699F">
              <w:rPr>
                <w:sz w:val="20"/>
                <w:szCs w:val="20"/>
                <w:lang w:val="fr-FR"/>
              </w:rPr>
              <w:t xml:space="preserve"> l’acquisition des connaissances et le changement d’attitude.</w:t>
            </w:r>
          </w:p>
          <w:p w:rsidR="00A41528" w:rsidRPr="005A699F" w:rsidRDefault="00A41528" w:rsidP="00EF30D3">
            <w:pPr>
              <w:spacing w:after="0"/>
              <w:rPr>
                <w:sz w:val="20"/>
                <w:szCs w:val="20"/>
                <w:lang w:val="fr-FR"/>
              </w:rPr>
            </w:pPr>
            <w:r w:rsidRPr="005A699F">
              <w:rPr>
                <w:sz w:val="20"/>
                <w:szCs w:val="20"/>
                <w:lang w:val="fr-FR"/>
              </w:rPr>
              <w:t xml:space="preserve">Sensibilisés : nombre de personnes ayant participé à l’ensemble de la </w:t>
            </w:r>
            <w:r w:rsidR="006E3B01">
              <w:rPr>
                <w:sz w:val="20"/>
                <w:szCs w:val="20"/>
                <w:lang w:val="fr-FR"/>
              </w:rPr>
              <w:t>sensibilisation</w:t>
            </w:r>
            <w:r w:rsidR="006E3B01" w:rsidRPr="005A699F">
              <w:rPr>
                <w:sz w:val="20"/>
                <w:szCs w:val="20"/>
                <w:lang w:val="fr-FR"/>
              </w:rPr>
              <w:t xml:space="preserve"> </w:t>
            </w:r>
            <w:r w:rsidRPr="005A699F">
              <w:rPr>
                <w:sz w:val="20"/>
                <w:szCs w:val="20"/>
                <w:lang w:val="fr-FR"/>
              </w:rPr>
              <w:t xml:space="preserve">(présence </w:t>
            </w:r>
            <w:r w:rsidR="00EF30D3">
              <w:rPr>
                <w:sz w:val="20"/>
                <w:szCs w:val="20"/>
                <w:lang w:val="fr-FR"/>
              </w:rPr>
              <w:t xml:space="preserve">indicative </w:t>
            </w:r>
            <w:r w:rsidRPr="005A699F">
              <w:rPr>
                <w:sz w:val="20"/>
                <w:szCs w:val="20"/>
                <w:lang w:val="fr-FR"/>
              </w:rPr>
              <w:t xml:space="preserve">à </w:t>
            </w:r>
            <w:r w:rsidR="00EF30D3">
              <w:rPr>
                <w:sz w:val="20"/>
                <w:szCs w:val="20"/>
                <w:lang w:val="fr-FR"/>
              </w:rPr>
              <w:t>environs 75</w:t>
            </w:r>
            <w:r w:rsidRPr="005A699F">
              <w:rPr>
                <w:sz w:val="20"/>
                <w:szCs w:val="20"/>
                <w:lang w:val="fr-FR"/>
              </w:rPr>
              <w:t>%).</w:t>
            </w:r>
          </w:p>
        </w:tc>
      </w:tr>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1895" w:rsidRPr="00881700" w:rsidRDefault="00001895" w:rsidP="007C5451">
            <w:pPr>
              <w:tabs>
                <w:tab w:val="left" w:pos="3960"/>
              </w:tabs>
              <w:spacing w:after="120" w:line="240" w:lineRule="auto"/>
              <w:rPr>
                <w:rFonts w:ascii="Calibri" w:eastAsia="Calibri" w:hAnsi="Calibri" w:cs="Calibri"/>
                <w:b/>
                <w:bCs/>
                <w:sz w:val="20"/>
                <w:szCs w:val="20"/>
                <w:lang w:eastAsia="fr-FR"/>
              </w:rPr>
            </w:pPr>
            <w:r w:rsidRPr="00881700">
              <w:rPr>
                <w:rFonts w:ascii="Calibri" w:eastAsia="Calibri" w:hAnsi="Calibri" w:cs="Calibri"/>
                <w:b/>
                <w:bCs/>
                <w:sz w:val="20"/>
                <w:szCs w:val="20"/>
                <w:lang w:eastAsia="fr-FR"/>
              </w:rPr>
              <w:t xml:space="preserve">Baseline </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tcPr>
          <w:p w:rsidR="00001895" w:rsidRPr="005A699F" w:rsidRDefault="00761E51" w:rsidP="007C5451">
            <w:pPr>
              <w:spacing w:after="0"/>
              <w:rPr>
                <w:sz w:val="20"/>
                <w:szCs w:val="20"/>
                <w:lang w:val="fr-FR"/>
              </w:rPr>
            </w:pPr>
            <w:r w:rsidRPr="005A699F">
              <w:rPr>
                <w:sz w:val="20"/>
                <w:szCs w:val="20"/>
                <w:lang w:val="fr-FR"/>
              </w:rPr>
              <w:t>Aucune baseline n’est nécessaire.</w:t>
            </w:r>
            <w:r w:rsidR="003F7083">
              <w:rPr>
                <w:sz w:val="20"/>
                <w:szCs w:val="20"/>
                <w:lang w:val="fr-FR"/>
              </w:rPr>
              <w:t xml:space="preserve"> Il est cependant intéressant de connaître le pourcentage de fonctionnaires et agents de la justice qui ont une spécialisation dans le domaine de la justice juvénile.</w:t>
            </w:r>
          </w:p>
        </w:tc>
      </w:tr>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1895" w:rsidRPr="000764A9" w:rsidRDefault="00001895" w:rsidP="007C5451">
            <w:pPr>
              <w:tabs>
                <w:tab w:val="left" w:pos="3960"/>
              </w:tabs>
              <w:spacing w:after="120" w:line="240" w:lineRule="auto"/>
              <w:rPr>
                <w:rFonts w:ascii="Calibri" w:eastAsia="Calibri" w:hAnsi="Calibri" w:cs="Calibri"/>
                <w:b/>
                <w:bCs/>
                <w:sz w:val="20"/>
                <w:szCs w:val="20"/>
                <w:lang w:eastAsia="fr-FR"/>
              </w:rPr>
            </w:pPr>
            <w:r w:rsidRPr="000764A9">
              <w:rPr>
                <w:rFonts w:ascii="Calibri" w:eastAsia="Calibri" w:hAnsi="Calibri" w:cs="Calibri"/>
                <w:b/>
                <w:bCs/>
                <w:sz w:val="20"/>
                <w:szCs w:val="20"/>
                <w:lang w:eastAsia="fr-FR"/>
              </w:rPr>
              <w:t xml:space="preserve">Sources et méthodes de collecte </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80A" w:rsidRDefault="0072080A" w:rsidP="009E5235">
            <w:pPr>
              <w:spacing w:after="0"/>
              <w:rPr>
                <w:sz w:val="20"/>
                <w:szCs w:val="20"/>
                <w:lang w:val="fr-FR"/>
              </w:rPr>
            </w:pPr>
            <w:r>
              <w:rPr>
                <w:sz w:val="20"/>
                <w:szCs w:val="20"/>
                <w:lang w:val="fr-FR"/>
              </w:rPr>
              <w:t>Listes de présence, rapports de formation et résultats des tests</w:t>
            </w:r>
            <w:r w:rsidR="000155B4">
              <w:rPr>
                <w:sz w:val="20"/>
                <w:szCs w:val="20"/>
                <w:lang w:val="fr-FR"/>
              </w:rPr>
              <w:t xml:space="preserve"> (pre/post)</w:t>
            </w:r>
            <w:r>
              <w:rPr>
                <w:sz w:val="20"/>
                <w:szCs w:val="20"/>
                <w:lang w:val="fr-FR"/>
              </w:rPr>
              <w:t>.</w:t>
            </w:r>
          </w:p>
          <w:p w:rsidR="009E5235" w:rsidRPr="005A699F" w:rsidRDefault="009E5235" w:rsidP="009E5235">
            <w:pPr>
              <w:spacing w:after="0"/>
              <w:rPr>
                <w:sz w:val="20"/>
                <w:szCs w:val="20"/>
                <w:lang w:val="fr-FR"/>
              </w:rPr>
            </w:pPr>
            <w:r w:rsidRPr="005A699F">
              <w:rPr>
                <w:sz w:val="20"/>
                <w:szCs w:val="20"/>
                <w:lang w:val="fr-FR"/>
              </w:rPr>
              <w:t xml:space="preserve">Attention, la formation doit être validée par un test pour pouvoir comptabiliser le nombre de participants effectifs. </w:t>
            </w:r>
          </w:p>
          <w:p w:rsidR="00001895" w:rsidRPr="005A699F" w:rsidRDefault="009E5235" w:rsidP="009E5235">
            <w:pPr>
              <w:spacing w:after="0"/>
              <w:rPr>
                <w:sz w:val="20"/>
                <w:szCs w:val="20"/>
                <w:lang w:val="fr-FR"/>
              </w:rPr>
            </w:pPr>
            <w:r w:rsidRPr="005A699F">
              <w:rPr>
                <w:sz w:val="20"/>
                <w:szCs w:val="20"/>
                <w:lang w:val="fr-FR"/>
              </w:rPr>
              <w:t xml:space="preserve">Pour </w:t>
            </w:r>
            <w:r w:rsidR="00242BEA" w:rsidRPr="005A699F">
              <w:rPr>
                <w:sz w:val="20"/>
                <w:szCs w:val="20"/>
                <w:lang w:val="fr-FR"/>
              </w:rPr>
              <w:t>les sensibilisations</w:t>
            </w:r>
            <w:r w:rsidRPr="005A699F">
              <w:rPr>
                <w:sz w:val="20"/>
                <w:szCs w:val="20"/>
                <w:lang w:val="fr-FR"/>
              </w:rPr>
              <w:t xml:space="preserve">, une présence à 80% </w:t>
            </w:r>
            <w:r w:rsidR="00660D85">
              <w:rPr>
                <w:sz w:val="20"/>
                <w:szCs w:val="20"/>
                <w:lang w:val="fr-FR"/>
              </w:rPr>
              <w:t xml:space="preserve"> du temps </w:t>
            </w:r>
            <w:r w:rsidRPr="005A699F">
              <w:rPr>
                <w:sz w:val="20"/>
                <w:szCs w:val="20"/>
                <w:lang w:val="fr-FR"/>
              </w:rPr>
              <w:t>est nécessaire pour validation</w:t>
            </w:r>
            <w:r w:rsidR="00001895" w:rsidRPr="005A699F">
              <w:rPr>
                <w:sz w:val="20"/>
                <w:szCs w:val="20"/>
                <w:lang w:val="fr-FR"/>
              </w:rPr>
              <w:t xml:space="preserve">.  </w:t>
            </w:r>
          </w:p>
        </w:tc>
      </w:tr>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1895" w:rsidRPr="00203871" w:rsidRDefault="00001895" w:rsidP="007C5451">
            <w:pPr>
              <w:tabs>
                <w:tab w:val="left" w:pos="3960"/>
              </w:tabs>
              <w:spacing w:after="120" w:line="240" w:lineRule="auto"/>
              <w:rPr>
                <w:rFonts w:ascii="Calibri" w:eastAsia="Calibri" w:hAnsi="Calibri" w:cs="Calibri"/>
                <w:b/>
                <w:bCs/>
                <w:sz w:val="20"/>
                <w:szCs w:val="20"/>
                <w:lang w:val="en-US" w:eastAsia="fr-FR"/>
              </w:rPr>
            </w:pPr>
            <w:r w:rsidRPr="00203871">
              <w:rPr>
                <w:rFonts w:ascii="Calibri" w:eastAsia="Calibri" w:hAnsi="Calibri" w:cs="Calibri"/>
                <w:b/>
                <w:bCs/>
                <w:sz w:val="20"/>
                <w:szCs w:val="20"/>
                <w:lang w:val="en-US" w:eastAsia="fr-FR"/>
              </w:rPr>
              <w:t>Outils de collecte</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0D85" w:rsidRPr="00C240EE" w:rsidRDefault="00712A5F" w:rsidP="00C240EE">
            <w:pPr>
              <w:pStyle w:val="Paragraphedeliste"/>
              <w:numPr>
                <w:ilvl w:val="0"/>
                <w:numId w:val="8"/>
              </w:numPr>
              <w:spacing w:after="0"/>
              <w:rPr>
                <w:sz w:val="20"/>
                <w:szCs w:val="20"/>
                <w:lang w:val="fr-FR"/>
              </w:rPr>
            </w:pPr>
            <w:r w:rsidRPr="00C240EE">
              <w:rPr>
                <w:sz w:val="20"/>
                <w:szCs w:val="20"/>
                <w:lang w:val="fr-FR"/>
              </w:rPr>
              <w:t xml:space="preserve">Pour la formation, les listes de présence et des tests de réussites </w:t>
            </w:r>
            <w:r w:rsidR="006E3B01" w:rsidRPr="00C240EE">
              <w:rPr>
                <w:sz w:val="20"/>
                <w:szCs w:val="20"/>
                <w:lang w:val="fr-FR"/>
              </w:rPr>
              <w:t xml:space="preserve">ou tests pre-post </w:t>
            </w:r>
            <w:r w:rsidRPr="00C240EE">
              <w:rPr>
                <w:sz w:val="20"/>
                <w:szCs w:val="20"/>
                <w:lang w:val="fr-FR"/>
              </w:rPr>
              <w:t xml:space="preserve">validant l’acquisition de connaissance, le changement d’attitude doivent être développés. </w:t>
            </w:r>
            <w:r w:rsidR="00555BB4" w:rsidRPr="00C240EE">
              <w:rPr>
                <w:sz w:val="20"/>
                <w:szCs w:val="20"/>
                <w:lang w:val="fr-FR"/>
              </w:rPr>
              <w:t>Le test devra inclure des questions permettant d’évaluer le changement d’attitudes (ex : étude de cas avec questions à choix multiples</w:t>
            </w:r>
            <w:r w:rsidR="00242BEA" w:rsidRPr="00C240EE">
              <w:rPr>
                <w:sz w:val="20"/>
                <w:szCs w:val="20"/>
                <w:lang w:val="fr-FR"/>
              </w:rPr>
              <w:t xml:space="preserve">). </w:t>
            </w:r>
          </w:p>
          <w:p w:rsidR="00001895" w:rsidRPr="00C240EE" w:rsidRDefault="00242BEA" w:rsidP="00C240EE">
            <w:pPr>
              <w:pStyle w:val="Paragraphedeliste"/>
              <w:numPr>
                <w:ilvl w:val="0"/>
                <w:numId w:val="8"/>
              </w:numPr>
              <w:spacing w:after="0"/>
              <w:rPr>
                <w:sz w:val="20"/>
                <w:szCs w:val="20"/>
                <w:lang w:val="fr-FR"/>
              </w:rPr>
            </w:pPr>
            <w:r w:rsidRPr="00C240EE">
              <w:rPr>
                <w:sz w:val="20"/>
                <w:szCs w:val="20"/>
                <w:lang w:val="fr-FR"/>
              </w:rPr>
              <w:t>Pour</w:t>
            </w:r>
            <w:r w:rsidR="00712A5F" w:rsidRPr="00C240EE">
              <w:rPr>
                <w:sz w:val="20"/>
                <w:szCs w:val="20"/>
                <w:lang w:val="fr-FR"/>
              </w:rPr>
              <w:t xml:space="preserve"> les sensibilisation</w:t>
            </w:r>
            <w:r w:rsidR="00555BB4" w:rsidRPr="00C240EE">
              <w:rPr>
                <w:sz w:val="20"/>
                <w:szCs w:val="20"/>
                <w:lang w:val="fr-FR"/>
              </w:rPr>
              <w:t>s</w:t>
            </w:r>
            <w:r w:rsidR="00712A5F" w:rsidRPr="00C240EE">
              <w:rPr>
                <w:sz w:val="20"/>
                <w:szCs w:val="20"/>
                <w:lang w:val="fr-FR"/>
              </w:rPr>
              <w:t xml:space="preserve">, des listes de présence signées par les participants pour chaque jour de </w:t>
            </w:r>
            <w:r w:rsidR="00660D85">
              <w:rPr>
                <w:sz w:val="20"/>
                <w:szCs w:val="20"/>
                <w:lang w:val="fr-FR"/>
              </w:rPr>
              <w:t>présence</w:t>
            </w:r>
            <w:r w:rsidR="00660D85" w:rsidRPr="00C240EE">
              <w:rPr>
                <w:sz w:val="20"/>
                <w:szCs w:val="20"/>
                <w:lang w:val="fr-FR"/>
              </w:rPr>
              <w:t xml:space="preserve"> </w:t>
            </w:r>
            <w:r w:rsidR="00712A5F" w:rsidRPr="00C240EE">
              <w:rPr>
                <w:sz w:val="20"/>
                <w:szCs w:val="20"/>
                <w:lang w:val="fr-FR"/>
              </w:rPr>
              <w:t>doivent être utilisées.</w:t>
            </w:r>
            <w:r w:rsidR="00001895" w:rsidRPr="00C240EE">
              <w:rPr>
                <w:sz w:val="20"/>
                <w:szCs w:val="20"/>
                <w:lang w:val="fr-FR"/>
              </w:rPr>
              <w:t xml:space="preserve">  </w:t>
            </w:r>
          </w:p>
        </w:tc>
      </w:tr>
      <w:tr w:rsidR="00001895" w:rsidRPr="00D8283B" w:rsidTr="00712ABD">
        <w:tc>
          <w:tcPr>
            <w:tcW w:w="2235" w:type="dxa"/>
            <w:tcBorders>
              <w:top w:val="single" w:sz="4" w:space="0" w:color="auto"/>
              <w:left w:val="single" w:sz="4" w:space="0" w:color="auto"/>
              <w:bottom w:val="nil"/>
              <w:right w:val="single" w:sz="4" w:space="0" w:color="auto"/>
            </w:tcBorders>
            <w:shd w:val="clear" w:color="auto" w:fill="DBE5F1" w:themeFill="accent1" w:themeFillTint="33"/>
            <w:hideMark/>
          </w:tcPr>
          <w:p w:rsidR="00001895" w:rsidRPr="000764A9" w:rsidRDefault="00001895" w:rsidP="007C5451">
            <w:pPr>
              <w:tabs>
                <w:tab w:val="left" w:pos="3960"/>
              </w:tabs>
              <w:spacing w:after="120" w:line="240" w:lineRule="auto"/>
              <w:rPr>
                <w:rFonts w:ascii="Calibri" w:eastAsia="Calibri" w:hAnsi="Calibri" w:cs="Calibri"/>
                <w:b/>
                <w:bCs/>
                <w:sz w:val="20"/>
                <w:szCs w:val="20"/>
                <w:lang w:eastAsia="fr-FR"/>
              </w:rPr>
            </w:pPr>
          </w:p>
        </w:tc>
        <w:tc>
          <w:tcPr>
            <w:tcW w:w="7053" w:type="dxa"/>
            <w:tcBorders>
              <w:top w:val="single" w:sz="4" w:space="0" w:color="auto"/>
              <w:left w:val="single" w:sz="4" w:space="0" w:color="auto"/>
              <w:bottom w:val="nil"/>
              <w:right w:val="single" w:sz="4" w:space="0" w:color="auto"/>
            </w:tcBorders>
            <w:shd w:val="clear" w:color="auto" w:fill="FFFFFF" w:themeFill="background1"/>
            <w:hideMark/>
          </w:tcPr>
          <w:p w:rsidR="00001895" w:rsidRPr="005A699F" w:rsidRDefault="00001895" w:rsidP="007C5451">
            <w:pPr>
              <w:spacing w:after="0"/>
              <w:rPr>
                <w:sz w:val="20"/>
                <w:szCs w:val="20"/>
                <w:lang w:val="fr-FR"/>
              </w:rPr>
            </w:pPr>
          </w:p>
        </w:tc>
      </w:tr>
      <w:tr w:rsidR="00773BD6" w:rsidRPr="00D8283B" w:rsidTr="00712ABD">
        <w:tc>
          <w:tcPr>
            <w:tcW w:w="2235" w:type="dxa"/>
            <w:tcBorders>
              <w:top w:val="nil"/>
              <w:left w:val="single" w:sz="4" w:space="0" w:color="auto"/>
              <w:bottom w:val="single" w:sz="4" w:space="0" w:color="auto"/>
              <w:right w:val="single" w:sz="4" w:space="0" w:color="auto"/>
            </w:tcBorders>
            <w:shd w:val="clear" w:color="auto" w:fill="DBE5F1" w:themeFill="accent1" w:themeFillTint="33"/>
            <w:hideMark/>
          </w:tcPr>
          <w:p w:rsidR="00773BD6" w:rsidRPr="00712A5F" w:rsidRDefault="00773BD6" w:rsidP="007C5451">
            <w:pPr>
              <w:tabs>
                <w:tab w:val="left" w:pos="3960"/>
              </w:tabs>
              <w:spacing w:after="120" w:line="240" w:lineRule="auto"/>
              <w:rPr>
                <w:rFonts w:ascii="Calibri" w:eastAsia="Calibri" w:hAnsi="Calibri" w:cs="Calibri"/>
                <w:b/>
                <w:bCs/>
                <w:sz w:val="20"/>
                <w:szCs w:val="20"/>
                <w:lang w:eastAsia="fr-FR"/>
              </w:rPr>
            </w:pPr>
            <w:r w:rsidRPr="00712A5F">
              <w:rPr>
                <w:rFonts w:ascii="Calibri" w:eastAsia="Calibri" w:hAnsi="Calibri" w:cs="Calibri"/>
                <w:b/>
                <w:bCs/>
                <w:sz w:val="20"/>
                <w:szCs w:val="20"/>
                <w:lang w:eastAsia="fr-FR"/>
              </w:rPr>
              <w:t>Temporalité</w:t>
            </w:r>
          </w:p>
        </w:tc>
        <w:tc>
          <w:tcPr>
            <w:tcW w:w="7053" w:type="dxa"/>
            <w:tcBorders>
              <w:top w:val="nil"/>
              <w:left w:val="single" w:sz="4" w:space="0" w:color="auto"/>
              <w:bottom w:val="single" w:sz="4" w:space="0" w:color="auto"/>
              <w:right w:val="single" w:sz="4" w:space="0" w:color="auto"/>
            </w:tcBorders>
            <w:shd w:val="clear" w:color="auto" w:fill="FFFFFF" w:themeFill="background1"/>
            <w:hideMark/>
          </w:tcPr>
          <w:p w:rsidR="00773BD6" w:rsidRPr="0028656A" w:rsidRDefault="00773BD6" w:rsidP="00773BD6">
            <w:pPr>
              <w:spacing w:after="120" w:line="240" w:lineRule="auto"/>
              <w:contextualSpacing/>
              <w:jc w:val="both"/>
              <w:rPr>
                <w:sz w:val="20"/>
                <w:szCs w:val="20"/>
              </w:rPr>
            </w:pPr>
            <w:r w:rsidRPr="0028656A">
              <w:rPr>
                <w:sz w:val="20"/>
                <w:szCs w:val="20"/>
              </w:rPr>
              <w:t xml:space="preserve">La collecte des </w:t>
            </w:r>
            <w:r w:rsidR="00242BEA" w:rsidRPr="0028656A">
              <w:rPr>
                <w:sz w:val="20"/>
                <w:szCs w:val="20"/>
              </w:rPr>
              <w:t>données doit</w:t>
            </w:r>
            <w:r w:rsidR="00707C5B" w:rsidRPr="0028656A">
              <w:rPr>
                <w:sz w:val="20"/>
                <w:szCs w:val="20"/>
              </w:rPr>
              <w:t xml:space="preserve"> être systématiquement conduite </w:t>
            </w:r>
            <w:r w:rsidR="005E2A7D">
              <w:rPr>
                <w:sz w:val="20"/>
                <w:szCs w:val="20"/>
              </w:rPr>
              <w:t xml:space="preserve">avant / </w:t>
            </w:r>
            <w:r w:rsidR="00707C5B" w:rsidRPr="0028656A">
              <w:rPr>
                <w:sz w:val="20"/>
                <w:szCs w:val="20"/>
              </w:rPr>
              <w:t xml:space="preserve">durant /après chaque formation.  La consolidation </w:t>
            </w:r>
            <w:r w:rsidRPr="0028656A">
              <w:rPr>
                <w:sz w:val="20"/>
                <w:szCs w:val="20"/>
              </w:rPr>
              <w:t xml:space="preserve">est </w:t>
            </w:r>
            <w:r w:rsidRPr="0072080A">
              <w:rPr>
                <w:sz w:val="20"/>
                <w:szCs w:val="20"/>
              </w:rPr>
              <w:t xml:space="preserve">effectuée à une </w:t>
            </w:r>
            <w:r w:rsidRPr="0072080A">
              <w:rPr>
                <w:b/>
                <w:sz w:val="20"/>
                <w:szCs w:val="20"/>
              </w:rPr>
              <w:t xml:space="preserve">fréquence libre selon les capacités de chaque délégation </w:t>
            </w:r>
            <w:r w:rsidRPr="0072080A">
              <w:rPr>
                <w:sz w:val="20"/>
                <w:szCs w:val="20"/>
              </w:rPr>
              <w:t xml:space="preserve">en prenant soin que les formations et </w:t>
            </w:r>
            <w:r w:rsidRPr="0072080A">
              <w:rPr>
                <w:sz w:val="20"/>
                <w:szCs w:val="20"/>
              </w:rPr>
              <w:lastRenderedPageBreak/>
              <w:t xml:space="preserve">sensibilisations qui sont à cheval sur deux périodes ne soient pas </w:t>
            </w:r>
            <w:r w:rsidRPr="0028656A">
              <w:rPr>
                <w:sz w:val="20"/>
                <w:szCs w:val="20"/>
              </w:rPr>
              <w:t>comptabilisés en double.</w:t>
            </w:r>
            <w:r w:rsidRPr="0028656A">
              <w:rPr>
                <w:b/>
                <w:sz w:val="20"/>
                <w:szCs w:val="20"/>
              </w:rPr>
              <w:t xml:space="preserve"> Le reporting est effectué de façon semestrielle.</w:t>
            </w:r>
          </w:p>
        </w:tc>
      </w:tr>
      <w:tr w:rsidR="001762DD"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62DD" w:rsidRPr="0028656A" w:rsidRDefault="001762DD" w:rsidP="007C5451">
            <w:pPr>
              <w:tabs>
                <w:tab w:val="left" w:pos="3960"/>
              </w:tabs>
              <w:spacing w:after="120" w:line="240" w:lineRule="auto"/>
              <w:rPr>
                <w:rFonts w:ascii="Calibri" w:eastAsia="Calibri" w:hAnsi="Calibri" w:cs="Calibri"/>
                <w:b/>
                <w:bCs/>
                <w:sz w:val="20"/>
                <w:szCs w:val="20"/>
                <w:lang w:eastAsia="fr-FR"/>
              </w:rPr>
            </w:pPr>
            <w:r w:rsidRPr="00712A5F">
              <w:rPr>
                <w:rFonts w:ascii="Calibri" w:eastAsia="Calibri" w:hAnsi="Calibri" w:cs="Calibri"/>
                <w:b/>
                <w:bCs/>
                <w:sz w:val="20"/>
                <w:szCs w:val="20"/>
                <w:lang w:eastAsia="fr-FR"/>
              </w:rPr>
              <w:lastRenderedPageBreak/>
              <w:t>Rôles et re</w:t>
            </w:r>
            <w:r w:rsidRPr="0028656A">
              <w:rPr>
                <w:rFonts w:ascii="Calibri" w:eastAsia="Calibri" w:hAnsi="Calibri" w:cs="Calibri"/>
                <w:b/>
                <w:bCs/>
                <w:sz w:val="20"/>
                <w:szCs w:val="20"/>
                <w:lang w:eastAsia="fr-FR"/>
              </w:rPr>
              <w:t>sponsabilités</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tcPr>
          <w:p w:rsidR="001762DD" w:rsidRPr="0028656A" w:rsidRDefault="001762DD" w:rsidP="007E0F15">
            <w:pPr>
              <w:spacing w:after="120" w:line="240" w:lineRule="auto"/>
              <w:contextualSpacing/>
              <w:jc w:val="both"/>
              <w:rPr>
                <w:sz w:val="20"/>
                <w:szCs w:val="20"/>
              </w:rPr>
            </w:pPr>
            <w:r w:rsidRPr="0028656A">
              <w:rPr>
                <w:sz w:val="20"/>
                <w:szCs w:val="20"/>
              </w:rPr>
              <w:t>Les rôles et responsabilités sont établis dès le début de la collecte. La consolidation des données pour chaque délégation est sous la responsabilité du chef de projet ou coordinateur de projet en justice (ou protection), qui peut déléguer la collecte aux équipes terrain (responsable M&amp;E, travailleurs sociaux, juriste, etc.). L’information est envoyée avec des commentaires au chef de délégation qui la transmet au coordinateur justice au niveau régional qui consolide les informations et les envoie au siège.</w:t>
            </w:r>
          </w:p>
        </w:tc>
      </w:tr>
      <w:tr w:rsidR="00001895" w:rsidRPr="00D8283B"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1895" w:rsidRPr="000764A9" w:rsidRDefault="00001895" w:rsidP="007C5451">
            <w:pPr>
              <w:tabs>
                <w:tab w:val="left" w:pos="3960"/>
              </w:tabs>
              <w:spacing w:after="120" w:line="240" w:lineRule="auto"/>
              <w:rPr>
                <w:rFonts w:ascii="Calibri" w:eastAsia="Calibri" w:hAnsi="Calibri" w:cs="Calibri"/>
                <w:b/>
                <w:bCs/>
                <w:sz w:val="20"/>
                <w:szCs w:val="20"/>
                <w:lang w:eastAsia="fr-FR"/>
              </w:rPr>
            </w:pPr>
            <w:r w:rsidRPr="000764A9">
              <w:rPr>
                <w:rFonts w:ascii="Calibri" w:eastAsia="Calibri" w:hAnsi="Calibri" w:cs="Calibri"/>
                <w:b/>
                <w:bCs/>
                <w:sz w:val="20"/>
                <w:szCs w:val="20"/>
                <w:lang w:eastAsia="fr-FR"/>
              </w:rPr>
              <w:t>Enjeux liés à la qualité préconisés</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EF2" w:rsidRPr="0028656A" w:rsidRDefault="003B1EF2" w:rsidP="007C5451">
            <w:pPr>
              <w:spacing w:after="0"/>
              <w:rPr>
                <w:sz w:val="20"/>
                <w:szCs w:val="20"/>
                <w:lang w:val="fr-FR"/>
              </w:rPr>
            </w:pPr>
            <w:r w:rsidRPr="00555BB4">
              <w:rPr>
                <w:sz w:val="20"/>
                <w:szCs w:val="20"/>
                <w:lang w:val="fr-FR"/>
              </w:rPr>
              <w:t xml:space="preserve">La qualité de l’indicateur est en lien direct avec (1) la qualité de la formation, (2) la participation et l’engagement des professionnels et (3) la façon dont </w:t>
            </w:r>
            <w:r w:rsidR="00242BEA" w:rsidRPr="00555BB4">
              <w:rPr>
                <w:sz w:val="20"/>
                <w:szCs w:val="20"/>
                <w:lang w:val="fr-FR"/>
              </w:rPr>
              <w:t>les changements</w:t>
            </w:r>
            <w:r w:rsidRPr="00555BB4">
              <w:rPr>
                <w:sz w:val="20"/>
                <w:szCs w:val="20"/>
                <w:lang w:val="fr-FR"/>
              </w:rPr>
              <w:t xml:space="preserve"> dans les connaissances acquises, les attitudes et les pratiques sont </w:t>
            </w:r>
            <w:r w:rsidR="00570FEF" w:rsidRPr="00524551">
              <w:rPr>
                <w:sz w:val="20"/>
                <w:szCs w:val="20"/>
                <w:lang w:val="fr-FR"/>
              </w:rPr>
              <w:t xml:space="preserve">testées et </w:t>
            </w:r>
            <w:r w:rsidRPr="00524551">
              <w:rPr>
                <w:sz w:val="20"/>
                <w:szCs w:val="20"/>
                <w:lang w:val="fr-FR"/>
              </w:rPr>
              <w:t>mesurées.</w:t>
            </w:r>
            <w:r w:rsidR="00570FEF" w:rsidRPr="00524551">
              <w:rPr>
                <w:sz w:val="20"/>
                <w:szCs w:val="20"/>
                <w:lang w:val="fr-FR"/>
              </w:rPr>
              <w:t xml:space="preserve">  Le degré d’acquisition </w:t>
            </w:r>
            <w:r w:rsidR="00242BEA" w:rsidRPr="00524551">
              <w:rPr>
                <w:sz w:val="20"/>
                <w:szCs w:val="20"/>
                <w:lang w:val="fr-FR"/>
              </w:rPr>
              <w:t>des connaissances</w:t>
            </w:r>
            <w:r w:rsidR="00570FEF" w:rsidRPr="00524551">
              <w:rPr>
                <w:sz w:val="20"/>
                <w:szCs w:val="20"/>
                <w:lang w:val="fr-FR"/>
              </w:rPr>
              <w:t xml:space="preserve"> ne signifie pas nécessairement que le changement d’attitude aura lieu et que les personnes formées auront la capacité / </w:t>
            </w:r>
            <w:r w:rsidR="00242BEA" w:rsidRPr="00524551">
              <w:rPr>
                <w:sz w:val="20"/>
                <w:szCs w:val="20"/>
                <w:lang w:val="fr-FR"/>
              </w:rPr>
              <w:t>opportunité de</w:t>
            </w:r>
            <w:r w:rsidR="00570FEF" w:rsidRPr="00524551">
              <w:rPr>
                <w:sz w:val="20"/>
                <w:szCs w:val="20"/>
                <w:lang w:val="fr-FR"/>
              </w:rPr>
              <w:t xml:space="preserve"> modifier leur comportement et influencer le travail de leur institutio</w:t>
            </w:r>
            <w:r w:rsidR="00570FEF" w:rsidRPr="0028656A">
              <w:rPr>
                <w:sz w:val="20"/>
                <w:szCs w:val="20"/>
                <w:lang w:val="fr-FR"/>
              </w:rPr>
              <w:t>n (</w:t>
            </w:r>
            <w:r w:rsidR="00242BEA" w:rsidRPr="0028656A">
              <w:rPr>
                <w:sz w:val="20"/>
                <w:szCs w:val="20"/>
                <w:lang w:val="fr-FR"/>
              </w:rPr>
              <w:t>traditionnellement,</w:t>
            </w:r>
            <w:r w:rsidR="00570FEF" w:rsidRPr="0028656A">
              <w:rPr>
                <w:sz w:val="20"/>
                <w:szCs w:val="20"/>
                <w:lang w:val="fr-FR"/>
              </w:rPr>
              <w:t xml:space="preserve"> les institutions justice – intérieur sont très hiérarchisées et le travail strictement régulé selon le cadre légal).</w:t>
            </w:r>
          </w:p>
          <w:p w:rsidR="00570FEF" w:rsidRPr="0028656A" w:rsidRDefault="00570FEF" w:rsidP="007C5451">
            <w:pPr>
              <w:spacing w:after="0"/>
              <w:rPr>
                <w:sz w:val="20"/>
                <w:szCs w:val="20"/>
                <w:lang w:val="fr-FR"/>
              </w:rPr>
            </w:pPr>
          </w:p>
          <w:p w:rsidR="00001895" w:rsidRPr="0028656A" w:rsidRDefault="00570FEF" w:rsidP="0072080A">
            <w:pPr>
              <w:spacing w:after="0"/>
              <w:rPr>
                <w:sz w:val="20"/>
                <w:szCs w:val="20"/>
                <w:lang w:val="fr-FR"/>
              </w:rPr>
            </w:pPr>
            <w:r w:rsidRPr="0028656A">
              <w:rPr>
                <w:sz w:val="20"/>
                <w:szCs w:val="20"/>
                <w:lang w:val="fr-FR"/>
              </w:rPr>
              <w:t xml:space="preserve">L’indicateur, tel que formulé, reste à un niveau de prestation (output).  Pour aller plus loin </w:t>
            </w:r>
            <w:r w:rsidR="00242BEA" w:rsidRPr="0028656A">
              <w:rPr>
                <w:sz w:val="20"/>
                <w:szCs w:val="20"/>
                <w:lang w:val="fr-FR"/>
              </w:rPr>
              <w:t>et viser</w:t>
            </w:r>
            <w:r w:rsidRPr="0028656A">
              <w:rPr>
                <w:sz w:val="20"/>
                <w:szCs w:val="20"/>
                <w:lang w:val="fr-FR"/>
              </w:rPr>
              <w:t xml:space="preserve"> une analyse des outcomes et de l’impact</w:t>
            </w:r>
            <w:r w:rsidR="00085967" w:rsidRPr="0028656A">
              <w:rPr>
                <w:sz w:val="20"/>
                <w:szCs w:val="20"/>
                <w:lang w:val="fr-FR"/>
              </w:rPr>
              <w:t xml:space="preserve"> des formations et sensibilisation</w:t>
            </w:r>
            <w:r w:rsidR="00660A76">
              <w:rPr>
                <w:sz w:val="20"/>
                <w:szCs w:val="20"/>
                <w:lang w:val="fr-FR"/>
              </w:rPr>
              <w:t>s</w:t>
            </w:r>
            <w:r w:rsidRPr="00660A76">
              <w:rPr>
                <w:sz w:val="20"/>
                <w:szCs w:val="20"/>
                <w:lang w:val="fr-FR"/>
              </w:rPr>
              <w:t>, on pourra trianguler l’information avec d’autres sources (eg. Interviews, focus groups) et à différents moments (dès la fin de la formation, 3 mois suivant la formation, 6 mo</w:t>
            </w:r>
            <w:r w:rsidRPr="00524551">
              <w:rPr>
                <w:sz w:val="20"/>
                <w:szCs w:val="20"/>
                <w:lang w:val="fr-FR"/>
              </w:rPr>
              <w:t xml:space="preserve">is suivant la formation).  </w:t>
            </w:r>
            <w:r w:rsidR="00085967" w:rsidRPr="00524551">
              <w:rPr>
                <w:sz w:val="20"/>
                <w:szCs w:val="20"/>
                <w:lang w:val="fr-FR"/>
              </w:rPr>
              <w:t xml:space="preserve"> </w:t>
            </w:r>
            <w:r w:rsidR="0072080A">
              <w:rPr>
                <w:sz w:val="20"/>
                <w:szCs w:val="20"/>
                <w:lang w:val="fr-FR"/>
              </w:rPr>
              <w:t>Des</w:t>
            </w:r>
            <w:r w:rsidR="00085967" w:rsidRPr="00524551">
              <w:rPr>
                <w:sz w:val="20"/>
                <w:szCs w:val="20"/>
                <w:lang w:val="fr-FR"/>
              </w:rPr>
              <w:t xml:space="preserve"> enquêtes CAP </w:t>
            </w:r>
            <w:r w:rsidR="00085967" w:rsidRPr="0028656A">
              <w:rPr>
                <w:sz w:val="20"/>
                <w:szCs w:val="20"/>
                <w:lang w:val="fr-FR"/>
              </w:rPr>
              <w:t>plus amb</w:t>
            </w:r>
            <w:r w:rsidR="0072080A">
              <w:rPr>
                <w:sz w:val="20"/>
                <w:szCs w:val="20"/>
                <w:lang w:val="fr-FR"/>
              </w:rPr>
              <w:t>itieuses devraient être menées si le niveau outcome veut être exploré au sein d’une population plus large.</w:t>
            </w:r>
          </w:p>
        </w:tc>
      </w:tr>
      <w:tr w:rsidR="00001895" w:rsidRPr="00783F38"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1895" w:rsidRPr="00203871" w:rsidRDefault="00001895" w:rsidP="007C5451">
            <w:pPr>
              <w:tabs>
                <w:tab w:val="left" w:pos="3960"/>
              </w:tabs>
              <w:spacing w:after="120" w:line="240" w:lineRule="auto"/>
              <w:rPr>
                <w:rFonts w:ascii="Calibri" w:eastAsia="Calibri" w:hAnsi="Calibri" w:cs="Calibri"/>
                <w:b/>
                <w:bCs/>
                <w:sz w:val="20"/>
                <w:szCs w:val="20"/>
                <w:lang w:val="en-US" w:eastAsia="fr-FR"/>
              </w:rPr>
            </w:pPr>
            <w:r>
              <w:rPr>
                <w:rFonts w:ascii="Calibri" w:eastAsia="Calibri" w:hAnsi="Calibri" w:cs="Calibri"/>
                <w:b/>
                <w:bCs/>
                <w:sz w:val="20"/>
                <w:szCs w:val="20"/>
                <w:lang w:val="en-US" w:eastAsia="fr-FR"/>
              </w:rPr>
              <w:t>Plan d’analyse</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tcPr>
          <w:p w:rsidR="00DC6B47" w:rsidRDefault="0072080A" w:rsidP="00A73973">
            <w:pPr>
              <w:spacing w:after="0"/>
              <w:rPr>
                <w:sz w:val="20"/>
                <w:szCs w:val="20"/>
                <w:lang w:val="fr-FR"/>
              </w:rPr>
            </w:pPr>
            <w:r>
              <w:rPr>
                <w:sz w:val="20"/>
                <w:szCs w:val="20"/>
                <w:lang w:val="fr-FR"/>
              </w:rPr>
              <w:t>Participants par genre et type d’activité (formation / sensibilisation).</w:t>
            </w:r>
          </w:p>
          <w:p w:rsidR="0072080A" w:rsidRDefault="0072080A" w:rsidP="00A73973">
            <w:pPr>
              <w:spacing w:after="0"/>
              <w:rPr>
                <w:sz w:val="20"/>
                <w:szCs w:val="20"/>
                <w:lang w:val="fr-FR"/>
              </w:rPr>
            </w:pPr>
          </w:p>
          <w:p w:rsidR="00085967" w:rsidRDefault="00DC6B47" w:rsidP="00A73973">
            <w:pPr>
              <w:spacing w:after="0"/>
              <w:rPr>
                <w:sz w:val="20"/>
                <w:szCs w:val="20"/>
                <w:lang w:val="fr-FR"/>
              </w:rPr>
            </w:pPr>
            <w:r>
              <w:rPr>
                <w:sz w:val="20"/>
                <w:szCs w:val="20"/>
                <w:lang w:val="fr-FR"/>
              </w:rPr>
              <w:t>Dans les rapports narratifs, on pourra explorer différents éléments d’intérêt liés à la formation menée, dans quelle mesure elles ont été pertinentes, p</w:t>
            </w:r>
            <w:r w:rsidR="00085967" w:rsidRPr="00555BB4">
              <w:rPr>
                <w:sz w:val="20"/>
                <w:szCs w:val="20"/>
                <w:lang w:val="fr-FR"/>
              </w:rPr>
              <w:t xml:space="preserve">rincipaux points de satisfaction et d’engagement post formation. </w:t>
            </w:r>
            <w:r w:rsidR="00085967" w:rsidRPr="00DC6B47">
              <w:rPr>
                <w:sz w:val="20"/>
                <w:szCs w:val="20"/>
                <w:lang w:val="fr-FR"/>
              </w:rPr>
              <w:t xml:space="preserve"> </w:t>
            </w:r>
          </w:p>
          <w:p w:rsidR="003F7083" w:rsidRDefault="003F7083" w:rsidP="003F7083">
            <w:pPr>
              <w:spacing w:after="0"/>
              <w:rPr>
                <w:sz w:val="20"/>
                <w:szCs w:val="20"/>
              </w:rPr>
            </w:pPr>
            <w:r w:rsidRPr="003F7083">
              <w:rPr>
                <w:sz w:val="20"/>
                <w:szCs w:val="20"/>
              </w:rPr>
              <w:t xml:space="preserve">Une formation ponctuelle organisée seulement pas Tdh n’aura pas le même impact sur le long terme (sans remettre en cause la qualité de la formation), qu’une formation élaborée conjointement et accréditée par Tdh et une université et/ou une école judiciaire, avec une projection de s’institutionnaliser et de se répéter dans les années à venir. </w:t>
            </w:r>
          </w:p>
          <w:p w:rsidR="003F7083" w:rsidRPr="003F7083" w:rsidRDefault="003F7083" w:rsidP="003F7083">
            <w:pPr>
              <w:spacing w:after="0"/>
              <w:rPr>
                <w:sz w:val="20"/>
                <w:szCs w:val="20"/>
              </w:rPr>
            </w:pPr>
          </w:p>
          <w:p w:rsidR="003F7083" w:rsidRPr="003F7083" w:rsidRDefault="003F7083" w:rsidP="003F7083">
            <w:pPr>
              <w:spacing w:after="0"/>
              <w:rPr>
                <w:sz w:val="20"/>
                <w:szCs w:val="20"/>
              </w:rPr>
            </w:pPr>
            <w:r w:rsidRPr="003F7083">
              <w:rPr>
                <w:sz w:val="20"/>
                <w:szCs w:val="20"/>
              </w:rPr>
              <w:t xml:space="preserve">Un autre critère qui devrait être analysé : rapport qualité/prix, ou cout/bénéfice : combien investit Tdh dans telle formation, pour quels résultats ? En fonction de ce critère, voir de quelle manière il est plus pertinent d’investir en formation, pour des formations de qualité, accrédités par des institutions de justice ou des universités, à un coût toutefois modique. </w:t>
            </w:r>
          </w:p>
          <w:p w:rsidR="00A73973" w:rsidRPr="00555BB4" w:rsidRDefault="00A73973" w:rsidP="00A73973">
            <w:pPr>
              <w:spacing w:after="0"/>
              <w:rPr>
                <w:sz w:val="20"/>
                <w:szCs w:val="20"/>
                <w:lang w:val="fr-FR"/>
              </w:rPr>
            </w:pPr>
          </w:p>
        </w:tc>
      </w:tr>
      <w:tr w:rsidR="00001895" w:rsidRPr="00783F38" w:rsidTr="00712ABD">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1895" w:rsidRPr="00203871" w:rsidRDefault="00001895" w:rsidP="007C5451">
            <w:pPr>
              <w:tabs>
                <w:tab w:val="left" w:pos="3960"/>
              </w:tabs>
              <w:spacing w:after="120" w:line="240" w:lineRule="auto"/>
              <w:rPr>
                <w:rFonts w:ascii="Calibri" w:eastAsia="Calibri" w:hAnsi="Calibri" w:cs="Calibri"/>
                <w:b/>
                <w:bCs/>
                <w:sz w:val="20"/>
                <w:szCs w:val="20"/>
                <w:lang w:val="en-US" w:eastAsia="fr-FR"/>
              </w:rPr>
            </w:pPr>
            <w:r w:rsidRPr="00203871">
              <w:rPr>
                <w:rFonts w:ascii="Calibri" w:eastAsia="Calibri" w:hAnsi="Calibri" w:cs="Calibri"/>
                <w:b/>
                <w:bCs/>
                <w:sz w:val="20"/>
                <w:szCs w:val="20"/>
                <w:lang w:val="en-US" w:eastAsia="fr-FR"/>
              </w:rPr>
              <w:t xml:space="preserve">Resources  </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tcPr>
          <w:p w:rsidR="00524551" w:rsidRDefault="003505D9" w:rsidP="008A469E">
            <w:pPr>
              <w:spacing w:after="0"/>
              <w:rPr>
                <w:sz w:val="20"/>
                <w:szCs w:val="20"/>
                <w:lang w:val="fr-FR"/>
              </w:rPr>
            </w:pPr>
            <w:r w:rsidRPr="00555BB4">
              <w:rPr>
                <w:sz w:val="20"/>
                <w:szCs w:val="20"/>
                <w:lang w:val="fr-FR"/>
              </w:rPr>
              <w:t xml:space="preserve">Suffisamment de temps </w:t>
            </w:r>
            <w:r w:rsidR="003279AC" w:rsidRPr="00555BB4">
              <w:rPr>
                <w:sz w:val="20"/>
                <w:szCs w:val="20"/>
                <w:lang w:val="fr-FR"/>
              </w:rPr>
              <w:t>(1-5 jours</w:t>
            </w:r>
            <w:r w:rsidR="00CF027D">
              <w:rPr>
                <w:sz w:val="20"/>
                <w:szCs w:val="20"/>
                <w:lang w:val="fr-FR"/>
              </w:rPr>
              <w:t xml:space="preserve"> par formation/sensibilisation</w:t>
            </w:r>
            <w:r w:rsidR="003279AC" w:rsidRPr="00555BB4">
              <w:rPr>
                <w:sz w:val="20"/>
                <w:szCs w:val="20"/>
                <w:lang w:val="fr-FR"/>
              </w:rPr>
              <w:t xml:space="preserve"> selon l’importance de la formation et le nombre de participants, </w:t>
            </w:r>
            <w:r w:rsidRPr="00555BB4">
              <w:rPr>
                <w:sz w:val="20"/>
                <w:szCs w:val="20"/>
                <w:lang w:val="fr-FR"/>
              </w:rPr>
              <w:t xml:space="preserve">en amont des formations doit être consacré à la validation de </w:t>
            </w:r>
            <w:r w:rsidRPr="00524551">
              <w:rPr>
                <w:sz w:val="20"/>
                <w:szCs w:val="20"/>
                <w:lang w:val="fr-FR"/>
              </w:rPr>
              <w:t>l’acquisition de connaissances, au changement d’attitude ou au changement de pratiques pour pouvoir être pertinent.</w:t>
            </w:r>
            <w:r w:rsidR="00B8072F" w:rsidRPr="00CF027D">
              <w:rPr>
                <w:sz w:val="20"/>
                <w:szCs w:val="20"/>
                <w:lang w:val="fr-FR"/>
              </w:rPr>
              <w:t xml:space="preserve"> De la même façon un temps suffisant doit être alloué à la fin des formations pour le traitement des tests et le reporting (1-5 jours </w:t>
            </w:r>
            <w:r w:rsidR="00CF027D">
              <w:rPr>
                <w:sz w:val="20"/>
                <w:szCs w:val="20"/>
                <w:lang w:val="fr-FR"/>
              </w:rPr>
              <w:t xml:space="preserve">par formation/sensibilisation </w:t>
            </w:r>
            <w:r w:rsidR="00B8072F" w:rsidRPr="00CF027D">
              <w:rPr>
                <w:sz w:val="20"/>
                <w:szCs w:val="20"/>
                <w:lang w:val="fr-FR"/>
              </w:rPr>
              <w:t>selon l’importance de la formation et le nombre de participants).</w:t>
            </w:r>
            <w:r w:rsidR="00085967" w:rsidRPr="00CF027D">
              <w:rPr>
                <w:sz w:val="20"/>
                <w:szCs w:val="20"/>
                <w:lang w:val="fr-FR"/>
              </w:rPr>
              <w:t xml:space="preserve">  </w:t>
            </w:r>
          </w:p>
          <w:p w:rsidR="0072080A" w:rsidRDefault="0072080A" w:rsidP="008A469E">
            <w:pPr>
              <w:spacing w:after="0"/>
              <w:rPr>
                <w:sz w:val="20"/>
                <w:szCs w:val="20"/>
                <w:lang w:val="fr-FR"/>
              </w:rPr>
            </w:pPr>
          </w:p>
          <w:p w:rsidR="00001895" w:rsidRPr="00555BB4" w:rsidRDefault="0072080A" w:rsidP="008A469E">
            <w:pPr>
              <w:spacing w:after="0"/>
              <w:rPr>
                <w:sz w:val="20"/>
                <w:szCs w:val="20"/>
                <w:lang w:val="fr-FR"/>
              </w:rPr>
            </w:pPr>
            <w:r>
              <w:rPr>
                <w:sz w:val="20"/>
                <w:szCs w:val="20"/>
                <w:lang w:val="fr-FR"/>
              </w:rPr>
              <w:lastRenderedPageBreak/>
              <w:t>Note : s</w:t>
            </w:r>
            <w:r w:rsidR="00085967" w:rsidRPr="00524551">
              <w:rPr>
                <w:sz w:val="20"/>
                <w:szCs w:val="20"/>
                <w:lang w:val="fr-FR"/>
              </w:rPr>
              <w:t xml:space="preserve">i une enquête CAP est </w:t>
            </w:r>
            <w:r w:rsidR="00242BEA" w:rsidRPr="00524551">
              <w:rPr>
                <w:sz w:val="20"/>
                <w:szCs w:val="20"/>
                <w:lang w:val="fr-FR"/>
              </w:rPr>
              <w:t>envisagée, bien</w:t>
            </w:r>
            <w:r w:rsidR="008A469E" w:rsidRPr="00524551">
              <w:rPr>
                <w:sz w:val="20"/>
                <w:szCs w:val="20"/>
                <w:lang w:val="fr-FR"/>
              </w:rPr>
              <w:t xml:space="preserve"> considérer les ressources nécessaire</w:t>
            </w:r>
            <w:r w:rsidR="00524551">
              <w:rPr>
                <w:sz w:val="20"/>
                <w:szCs w:val="20"/>
                <w:lang w:val="fr-FR"/>
              </w:rPr>
              <w:t xml:space="preserve">s </w:t>
            </w:r>
            <w:r w:rsidR="008A469E" w:rsidRPr="00524551">
              <w:rPr>
                <w:sz w:val="20"/>
                <w:szCs w:val="20"/>
                <w:lang w:val="fr-FR"/>
              </w:rPr>
              <w:t xml:space="preserve">(RH, financières et temps) avant de s’engager.  Se référer </w:t>
            </w:r>
            <w:r w:rsidR="00242BEA" w:rsidRPr="00524551">
              <w:rPr>
                <w:sz w:val="20"/>
                <w:szCs w:val="20"/>
                <w:lang w:val="fr-FR"/>
              </w:rPr>
              <w:t>aux documents méthodologiques</w:t>
            </w:r>
            <w:r w:rsidR="008A469E" w:rsidRPr="00524551">
              <w:rPr>
                <w:sz w:val="20"/>
                <w:szCs w:val="20"/>
                <w:lang w:val="fr-FR"/>
              </w:rPr>
              <w:t xml:space="preserve"> recommandés par Tdh.</w:t>
            </w:r>
            <w:r w:rsidR="008A469E" w:rsidRPr="0028656A">
              <w:rPr>
                <w:sz w:val="20"/>
                <w:szCs w:val="20"/>
              </w:rPr>
              <w:t xml:space="preserve"> </w:t>
            </w:r>
            <w:hyperlink r:id="rId10" w:history="1">
              <w:r w:rsidR="008A469E" w:rsidRPr="00555BB4">
                <w:rPr>
                  <w:rStyle w:val="Lienhypertexte"/>
                  <w:sz w:val="20"/>
                  <w:szCs w:val="20"/>
                  <w:lang w:val="fr-FR"/>
                </w:rPr>
                <w:t>https://app.tdh.ch/qualite</w:t>
              </w:r>
            </w:hyperlink>
            <w:r w:rsidR="008A469E" w:rsidRPr="00555BB4">
              <w:rPr>
                <w:sz w:val="20"/>
                <w:szCs w:val="20"/>
                <w:lang w:val="fr-FR"/>
              </w:rPr>
              <w:t xml:space="preserve"> </w:t>
            </w:r>
            <w:r w:rsidR="00524551">
              <w:rPr>
                <w:sz w:val="20"/>
                <w:szCs w:val="20"/>
                <w:lang w:val="fr-FR"/>
              </w:rPr>
              <w:t>(</w:t>
            </w:r>
            <w:r w:rsidR="00524551" w:rsidRPr="00524551">
              <w:rPr>
                <w:sz w:val="20"/>
                <w:szCs w:val="20"/>
                <w:lang w:val="fr-FR"/>
              </w:rPr>
              <w:t>Pack méthodes de collecte des données - data collection methods</w:t>
            </w:r>
            <w:r w:rsidR="00524551">
              <w:rPr>
                <w:sz w:val="20"/>
                <w:szCs w:val="20"/>
                <w:lang w:val="fr-FR"/>
              </w:rPr>
              <w:t>)</w:t>
            </w:r>
          </w:p>
        </w:tc>
      </w:tr>
    </w:tbl>
    <w:p w:rsidR="0030695D" w:rsidRDefault="0030695D"/>
    <w:p w:rsidR="00001895" w:rsidRDefault="00001895"/>
    <w:sectPr w:rsidR="0000189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E9" w:rsidRDefault="00A874E9" w:rsidP="00001895">
      <w:pPr>
        <w:spacing w:after="0" w:line="240" w:lineRule="auto"/>
      </w:pPr>
      <w:r>
        <w:separator/>
      </w:r>
    </w:p>
  </w:endnote>
  <w:endnote w:type="continuationSeparator" w:id="0">
    <w:p w:rsidR="00A874E9" w:rsidRDefault="00A874E9" w:rsidP="0000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E9" w:rsidRDefault="00A874E9" w:rsidP="00001895">
      <w:pPr>
        <w:spacing w:after="0" w:line="240" w:lineRule="auto"/>
      </w:pPr>
      <w:r>
        <w:separator/>
      </w:r>
    </w:p>
  </w:footnote>
  <w:footnote w:type="continuationSeparator" w:id="0">
    <w:p w:rsidR="00A874E9" w:rsidRDefault="00A874E9" w:rsidP="00001895">
      <w:pPr>
        <w:spacing w:after="0" w:line="240" w:lineRule="auto"/>
      </w:pPr>
      <w:r>
        <w:continuationSeparator/>
      </w:r>
    </w:p>
  </w:footnote>
  <w:footnote w:id="1">
    <w:p w:rsidR="009B1DAB" w:rsidRDefault="009B1DAB" w:rsidP="009B1DAB">
      <w:pPr>
        <w:pStyle w:val="Notedebasdepage"/>
      </w:pPr>
      <w:r>
        <w:rPr>
          <w:rStyle w:val="Appelnotedebasdep"/>
        </w:rPr>
        <w:footnoteRef/>
      </w:r>
      <w:r>
        <w:t xml:space="preserve"> Dans les pays d’intervention en </w:t>
      </w:r>
      <w:r>
        <w:rPr>
          <w:b/>
        </w:rPr>
        <w:t>Amérique centrale</w:t>
      </w:r>
      <w:r>
        <w:t xml:space="preserve"> : </w:t>
      </w:r>
      <w:r w:rsidR="00945991">
        <w:t>Panama,</w:t>
      </w:r>
      <w:r w:rsidR="00945991" w:rsidRPr="0035017A">
        <w:t xml:space="preserve"> Nicaragua</w:t>
      </w:r>
      <w:r w:rsidR="00945991">
        <w:t>, Honduras, Guatemala et le Salvador</w:t>
      </w:r>
      <w:r w:rsidR="0020116E">
        <w:t> ;</w:t>
      </w:r>
      <w:bookmarkStart w:id="0" w:name="_GoBack"/>
      <w:bookmarkEnd w:id="0"/>
      <w:r w:rsidR="00945991" w:rsidRPr="0035017A">
        <w:t xml:space="preserve"> </w:t>
      </w:r>
      <w:r w:rsidR="00945991" w:rsidRPr="00B45E1A">
        <w:rPr>
          <w:b/>
        </w:rPr>
        <w:t>Amérique du Sud</w:t>
      </w:r>
      <w:r w:rsidR="00945991" w:rsidRPr="0035017A">
        <w:t xml:space="preserve"> : Colombie, Equateur, Pérou, Brésil</w:t>
      </w:r>
      <w:r w:rsidR="00945991">
        <w:t>, Bolivie et Paraguay</w:t>
      </w:r>
      <w:r w:rsidR="00945991" w:rsidRPr="0035017A">
        <w:t xml:space="preserve"> ; </w:t>
      </w:r>
      <w:r w:rsidR="00945991" w:rsidRPr="00B45E1A">
        <w:rPr>
          <w:b/>
        </w:rPr>
        <w:t>Caraïbes</w:t>
      </w:r>
      <w:r w:rsidR="00945991" w:rsidRPr="0035017A">
        <w:t> : Haïti.</w:t>
      </w:r>
    </w:p>
  </w:footnote>
  <w:footnote w:id="2">
    <w:p w:rsidR="009B1DAB" w:rsidRDefault="009B1DAB" w:rsidP="009B1DAB">
      <w:pPr>
        <w:pStyle w:val="Notedebasdepage"/>
      </w:pPr>
      <w:r>
        <w:rPr>
          <w:rStyle w:val="Appelnotedebasdep"/>
        </w:rPr>
        <w:footnoteRef/>
      </w:r>
      <w:r>
        <w:t xml:space="preserve"> Dans les pays d’intervention : Bénin, Burkina Faso, Burundi, Mauritanie, Mali, Guinée Conakry.</w:t>
      </w:r>
    </w:p>
  </w:footnote>
  <w:footnote w:id="3">
    <w:p w:rsidR="009B1DAB" w:rsidRDefault="009B1DAB" w:rsidP="009B1DAB">
      <w:pPr>
        <w:pStyle w:val="Notedebasdepage"/>
      </w:pPr>
      <w:r>
        <w:rPr>
          <w:rStyle w:val="Appelnotedebasdep"/>
        </w:rPr>
        <w:footnoteRef/>
      </w:r>
      <w:r>
        <w:t xml:space="preserve"> Dans les pays d’intervention : Jordanie, Palestine, Egypte, Afghanistan.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95" w:rsidRDefault="00001895">
    <w:pPr>
      <w:pStyle w:val="En-tte"/>
    </w:pPr>
    <w:r w:rsidRPr="00691A2B">
      <w:rPr>
        <w:i/>
        <w:noProof/>
        <w:lang w:eastAsia="fr-CH"/>
      </w:rPr>
      <w:drawing>
        <wp:anchor distT="0" distB="0" distL="114300" distR="114300" simplePos="0" relativeHeight="251659264" behindDoc="0" locked="0" layoutInCell="1" allowOverlap="1" wp14:anchorId="754B231D" wp14:editId="5E8F155B">
          <wp:simplePos x="0" y="0"/>
          <wp:positionH relativeFrom="margin">
            <wp:posOffset>10160</wp:posOffset>
          </wp:positionH>
          <wp:positionV relativeFrom="margin">
            <wp:posOffset>-433070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2DA3"/>
    <w:multiLevelType w:val="hybridMultilevel"/>
    <w:tmpl w:val="3AAC4948"/>
    <w:lvl w:ilvl="0" w:tplc="C630AC8E">
      <w:start w:val="2"/>
      <w:numFmt w:val="bullet"/>
      <w:lvlText w:val="-"/>
      <w:lvlJc w:val="left"/>
      <w:pPr>
        <w:ind w:left="1068" w:hanging="360"/>
      </w:pPr>
      <w:rPr>
        <w:rFonts w:ascii="Calibri" w:eastAsiaTheme="minorHAnsi" w:hAnsi="Calibri" w:cstheme="minorBid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nsid w:val="299B49E6"/>
    <w:multiLevelType w:val="hybridMultilevel"/>
    <w:tmpl w:val="34AC3972"/>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58866EB"/>
    <w:multiLevelType w:val="hybridMultilevel"/>
    <w:tmpl w:val="2796087A"/>
    <w:lvl w:ilvl="0" w:tplc="6ADAB840">
      <w:start w:val="2"/>
      <w:numFmt w:val="bullet"/>
      <w:lvlText w:val="-"/>
      <w:lvlJc w:val="left"/>
      <w:pPr>
        <w:ind w:left="720" w:hanging="360"/>
      </w:pPr>
      <w:rPr>
        <w:rFonts w:ascii="Calibri" w:eastAsiaTheme="minorHAnsi" w:hAnsi="Calibri" w:cstheme="minorBidi" w:hint="default"/>
        <w:color w:val="F79646" w:themeColor="accent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D115C8"/>
    <w:multiLevelType w:val="hybridMultilevel"/>
    <w:tmpl w:val="4322D7DE"/>
    <w:lvl w:ilvl="0" w:tplc="9C8AD2CA">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31717F0"/>
    <w:multiLevelType w:val="hybridMultilevel"/>
    <w:tmpl w:val="B694D672"/>
    <w:lvl w:ilvl="0" w:tplc="50CE4746">
      <w:start w:val="1"/>
      <w:numFmt w:val="bullet"/>
      <w:lvlText w:val="-"/>
      <w:lvlJc w:val="left"/>
      <w:pPr>
        <w:ind w:left="720" w:hanging="360"/>
      </w:pPr>
      <w:rPr>
        <w:rFonts w:ascii="Calibri" w:eastAsia="Calibri" w:hAnsi="Calibri" w:cs="Times New Roman"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03F4C4F"/>
    <w:multiLevelType w:val="hybridMultilevel"/>
    <w:tmpl w:val="5B88E3A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39F13F7"/>
    <w:multiLevelType w:val="hybridMultilevel"/>
    <w:tmpl w:val="30A464B8"/>
    <w:lvl w:ilvl="0" w:tplc="BD145A22">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E0903A8"/>
    <w:multiLevelType w:val="hybridMultilevel"/>
    <w:tmpl w:val="3B4AF91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95"/>
    <w:rsid w:val="000015A2"/>
    <w:rsid w:val="00001895"/>
    <w:rsid w:val="000038E4"/>
    <w:rsid w:val="000155B4"/>
    <w:rsid w:val="00052833"/>
    <w:rsid w:val="00085967"/>
    <w:rsid w:val="00091F7C"/>
    <w:rsid w:val="000E4756"/>
    <w:rsid w:val="00113709"/>
    <w:rsid w:val="00125164"/>
    <w:rsid w:val="00146945"/>
    <w:rsid w:val="001532D9"/>
    <w:rsid w:val="001762DD"/>
    <w:rsid w:val="0020116E"/>
    <w:rsid w:val="002057D1"/>
    <w:rsid w:val="00230EAE"/>
    <w:rsid w:val="00237D38"/>
    <w:rsid w:val="00242BEA"/>
    <w:rsid w:val="00267F88"/>
    <w:rsid w:val="0028656A"/>
    <w:rsid w:val="00294785"/>
    <w:rsid w:val="00303B93"/>
    <w:rsid w:val="0030695D"/>
    <w:rsid w:val="003279AC"/>
    <w:rsid w:val="003505D9"/>
    <w:rsid w:val="003B1EF2"/>
    <w:rsid w:val="003D215B"/>
    <w:rsid w:val="003F7083"/>
    <w:rsid w:val="005164C3"/>
    <w:rsid w:val="00524551"/>
    <w:rsid w:val="0053199D"/>
    <w:rsid w:val="00532A87"/>
    <w:rsid w:val="00555BB4"/>
    <w:rsid w:val="00570FEF"/>
    <w:rsid w:val="00586B20"/>
    <w:rsid w:val="005A699F"/>
    <w:rsid w:val="005E2A7D"/>
    <w:rsid w:val="00602423"/>
    <w:rsid w:val="00660A76"/>
    <w:rsid w:val="00660D85"/>
    <w:rsid w:val="006C2D00"/>
    <w:rsid w:val="006C6D2B"/>
    <w:rsid w:val="006D0C63"/>
    <w:rsid w:val="006E3B01"/>
    <w:rsid w:val="006F2F95"/>
    <w:rsid w:val="00707C5B"/>
    <w:rsid w:val="00712A5F"/>
    <w:rsid w:val="00712ABD"/>
    <w:rsid w:val="00720208"/>
    <w:rsid w:val="0072080A"/>
    <w:rsid w:val="0074210D"/>
    <w:rsid w:val="00761E51"/>
    <w:rsid w:val="00764D90"/>
    <w:rsid w:val="00773BD6"/>
    <w:rsid w:val="00786998"/>
    <w:rsid w:val="007914E7"/>
    <w:rsid w:val="0081150C"/>
    <w:rsid w:val="0084202B"/>
    <w:rsid w:val="008738AB"/>
    <w:rsid w:val="00881700"/>
    <w:rsid w:val="008A469E"/>
    <w:rsid w:val="008D2F99"/>
    <w:rsid w:val="00902F88"/>
    <w:rsid w:val="00943756"/>
    <w:rsid w:val="00945991"/>
    <w:rsid w:val="00977946"/>
    <w:rsid w:val="009A0D1A"/>
    <w:rsid w:val="009B1DAB"/>
    <w:rsid w:val="009E5235"/>
    <w:rsid w:val="00A059B0"/>
    <w:rsid w:val="00A275D8"/>
    <w:rsid w:val="00A41528"/>
    <w:rsid w:val="00A55C46"/>
    <w:rsid w:val="00A73973"/>
    <w:rsid w:val="00A874E9"/>
    <w:rsid w:val="00AB0472"/>
    <w:rsid w:val="00B8072F"/>
    <w:rsid w:val="00B90CF7"/>
    <w:rsid w:val="00BF30C1"/>
    <w:rsid w:val="00C240EE"/>
    <w:rsid w:val="00C66B7E"/>
    <w:rsid w:val="00C92384"/>
    <w:rsid w:val="00CB29A1"/>
    <w:rsid w:val="00CD7E23"/>
    <w:rsid w:val="00CF027D"/>
    <w:rsid w:val="00CF5FBA"/>
    <w:rsid w:val="00D5366B"/>
    <w:rsid w:val="00D7281A"/>
    <w:rsid w:val="00DC6B47"/>
    <w:rsid w:val="00DD4890"/>
    <w:rsid w:val="00DF2965"/>
    <w:rsid w:val="00E45826"/>
    <w:rsid w:val="00E57B7E"/>
    <w:rsid w:val="00E97DA4"/>
    <w:rsid w:val="00EB0627"/>
    <w:rsid w:val="00EB0E66"/>
    <w:rsid w:val="00EF30D3"/>
    <w:rsid w:val="00F21E85"/>
    <w:rsid w:val="00F26277"/>
    <w:rsid w:val="00F3054B"/>
    <w:rsid w:val="00F33B2B"/>
    <w:rsid w:val="00F51547"/>
    <w:rsid w:val="00FC74D7"/>
    <w:rsid w:val="00FD135F"/>
    <w:rsid w:val="00FE38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1895"/>
    <w:pPr>
      <w:tabs>
        <w:tab w:val="center" w:pos="4536"/>
        <w:tab w:val="right" w:pos="9072"/>
      </w:tabs>
      <w:spacing w:after="0" w:line="240" w:lineRule="auto"/>
    </w:pPr>
  </w:style>
  <w:style w:type="character" w:customStyle="1" w:styleId="En-tteCar">
    <w:name w:val="En-tête Car"/>
    <w:basedOn w:val="Policepardfaut"/>
    <w:link w:val="En-tte"/>
    <w:uiPriority w:val="99"/>
    <w:rsid w:val="00001895"/>
  </w:style>
  <w:style w:type="paragraph" w:styleId="Pieddepage">
    <w:name w:val="footer"/>
    <w:basedOn w:val="Normal"/>
    <w:link w:val="PieddepageCar"/>
    <w:uiPriority w:val="99"/>
    <w:unhideWhenUsed/>
    <w:rsid w:val="000018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895"/>
  </w:style>
  <w:style w:type="paragraph" w:styleId="Paragraphedeliste">
    <w:name w:val="List Paragraph"/>
    <w:basedOn w:val="Normal"/>
    <w:uiPriority w:val="34"/>
    <w:qFormat/>
    <w:rsid w:val="00001895"/>
    <w:pPr>
      <w:ind w:left="720"/>
      <w:contextualSpacing/>
    </w:pPr>
  </w:style>
  <w:style w:type="paragraph" w:styleId="Notedebasdepage">
    <w:name w:val="footnote text"/>
    <w:basedOn w:val="Normal"/>
    <w:link w:val="NotedebasdepageCar"/>
    <w:uiPriority w:val="99"/>
    <w:semiHidden/>
    <w:unhideWhenUsed/>
    <w:rsid w:val="0084202B"/>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84202B"/>
    <w:rPr>
      <w:sz w:val="20"/>
      <w:szCs w:val="20"/>
      <w:lang w:val="fr-FR"/>
    </w:rPr>
  </w:style>
  <w:style w:type="character" w:styleId="Appelnotedebasdep">
    <w:name w:val="footnote reference"/>
    <w:basedOn w:val="Policepardfaut"/>
    <w:uiPriority w:val="99"/>
    <w:semiHidden/>
    <w:unhideWhenUsed/>
    <w:rsid w:val="0084202B"/>
    <w:rPr>
      <w:vertAlign w:val="superscript"/>
    </w:rPr>
  </w:style>
  <w:style w:type="character" w:styleId="Lienhypertexte">
    <w:name w:val="Hyperlink"/>
    <w:basedOn w:val="Policepardfaut"/>
    <w:uiPriority w:val="99"/>
    <w:unhideWhenUsed/>
    <w:rsid w:val="00A73973"/>
    <w:rPr>
      <w:color w:val="0000FF" w:themeColor="hyperlink"/>
      <w:u w:val="single"/>
    </w:rPr>
  </w:style>
  <w:style w:type="character" w:styleId="Marquedecommentaire">
    <w:name w:val="annotation reference"/>
    <w:basedOn w:val="Policepardfaut"/>
    <w:uiPriority w:val="99"/>
    <w:semiHidden/>
    <w:unhideWhenUsed/>
    <w:rsid w:val="00E57B7E"/>
    <w:rPr>
      <w:sz w:val="16"/>
      <w:szCs w:val="16"/>
    </w:rPr>
  </w:style>
  <w:style w:type="paragraph" w:styleId="Commentaire">
    <w:name w:val="annotation text"/>
    <w:basedOn w:val="Normal"/>
    <w:link w:val="CommentaireCar"/>
    <w:uiPriority w:val="99"/>
    <w:unhideWhenUsed/>
    <w:rsid w:val="00E57B7E"/>
    <w:pPr>
      <w:spacing w:line="240" w:lineRule="auto"/>
    </w:pPr>
    <w:rPr>
      <w:sz w:val="20"/>
      <w:szCs w:val="20"/>
    </w:rPr>
  </w:style>
  <w:style w:type="character" w:customStyle="1" w:styleId="CommentaireCar">
    <w:name w:val="Commentaire Car"/>
    <w:basedOn w:val="Policepardfaut"/>
    <w:link w:val="Commentaire"/>
    <w:uiPriority w:val="99"/>
    <w:rsid w:val="00E57B7E"/>
    <w:rPr>
      <w:sz w:val="20"/>
      <w:szCs w:val="20"/>
    </w:rPr>
  </w:style>
  <w:style w:type="paragraph" w:styleId="Objetducommentaire">
    <w:name w:val="annotation subject"/>
    <w:basedOn w:val="Commentaire"/>
    <w:next w:val="Commentaire"/>
    <w:link w:val="ObjetducommentaireCar"/>
    <w:uiPriority w:val="99"/>
    <w:semiHidden/>
    <w:unhideWhenUsed/>
    <w:rsid w:val="00E57B7E"/>
    <w:rPr>
      <w:b/>
      <w:bCs/>
    </w:rPr>
  </w:style>
  <w:style w:type="character" w:customStyle="1" w:styleId="ObjetducommentaireCar">
    <w:name w:val="Objet du commentaire Car"/>
    <w:basedOn w:val="CommentaireCar"/>
    <w:link w:val="Objetducommentaire"/>
    <w:uiPriority w:val="99"/>
    <w:semiHidden/>
    <w:rsid w:val="00E57B7E"/>
    <w:rPr>
      <w:b/>
      <w:bCs/>
      <w:sz w:val="20"/>
      <w:szCs w:val="20"/>
    </w:rPr>
  </w:style>
  <w:style w:type="paragraph" w:styleId="Textedebulles">
    <w:name w:val="Balloon Text"/>
    <w:basedOn w:val="Normal"/>
    <w:link w:val="TextedebullesCar"/>
    <w:uiPriority w:val="99"/>
    <w:semiHidden/>
    <w:unhideWhenUsed/>
    <w:rsid w:val="00E57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1895"/>
    <w:pPr>
      <w:tabs>
        <w:tab w:val="center" w:pos="4536"/>
        <w:tab w:val="right" w:pos="9072"/>
      </w:tabs>
      <w:spacing w:after="0" w:line="240" w:lineRule="auto"/>
    </w:pPr>
  </w:style>
  <w:style w:type="character" w:customStyle="1" w:styleId="En-tteCar">
    <w:name w:val="En-tête Car"/>
    <w:basedOn w:val="Policepardfaut"/>
    <w:link w:val="En-tte"/>
    <w:uiPriority w:val="99"/>
    <w:rsid w:val="00001895"/>
  </w:style>
  <w:style w:type="paragraph" w:styleId="Pieddepage">
    <w:name w:val="footer"/>
    <w:basedOn w:val="Normal"/>
    <w:link w:val="PieddepageCar"/>
    <w:uiPriority w:val="99"/>
    <w:unhideWhenUsed/>
    <w:rsid w:val="000018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895"/>
  </w:style>
  <w:style w:type="paragraph" w:styleId="Paragraphedeliste">
    <w:name w:val="List Paragraph"/>
    <w:basedOn w:val="Normal"/>
    <w:uiPriority w:val="34"/>
    <w:qFormat/>
    <w:rsid w:val="00001895"/>
    <w:pPr>
      <w:ind w:left="720"/>
      <w:contextualSpacing/>
    </w:pPr>
  </w:style>
  <w:style w:type="paragraph" w:styleId="Notedebasdepage">
    <w:name w:val="footnote text"/>
    <w:basedOn w:val="Normal"/>
    <w:link w:val="NotedebasdepageCar"/>
    <w:uiPriority w:val="99"/>
    <w:semiHidden/>
    <w:unhideWhenUsed/>
    <w:rsid w:val="0084202B"/>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84202B"/>
    <w:rPr>
      <w:sz w:val="20"/>
      <w:szCs w:val="20"/>
      <w:lang w:val="fr-FR"/>
    </w:rPr>
  </w:style>
  <w:style w:type="character" w:styleId="Appelnotedebasdep">
    <w:name w:val="footnote reference"/>
    <w:basedOn w:val="Policepardfaut"/>
    <w:uiPriority w:val="99"/>
    <w:semiHidden/>
    <w:unhideWhenUsed/>
    <w:rsid w:val="0084202B"/>
    <w:rPr>
      <w:vertAlign w:val="superscript"/>
    </w:rPr>
  </w:style>
  <w:style w:type="character" w:styleId="Lienhypertexte">
    <w:name w:val="Hyperlink"/>
    <w:basedOn w:val="Policepardfaut"/>
    <w:uiPriority w:val="99"/>
    <w:unhideWhenUsed/>
    <w:rsid w:val="00A73973"/>
    <w:rPr>
      <w:color w:val="0000FF" w:themeColor="hyperlink"/>
      <w:u w:val="single"/>
    </w:rPr>
  </w:style>
  <w:style w:type="character" w:styleId="Marquedecommentaire">
    <w:name w:val="annotation reference"/>
    <w:basedOn w:val="Policepardfaut"/>
    <w:uiPriority w:val="99"/>
    <w:semiHidden/>
    <w:unhideWhenUsed/>
    <w:rsid w:val="00E57B7E"/>
    <w:rPr>
      <w:sz w:val="16"/>
      <w:szCs w:val="16"/>
    </w:rPr>
  </w:style>
  <w:style w:type="paragraph" w:styleId="Commentaire">
    <w:name w:val="annotation text"/>
    <w:basedOn w:val="Normal"/>
    <w:link w:val="CommentaireCar"/>
    <w:uiPriority w:val="99"/>
    <w:unhideWhenUsed/>
    <w:rsid w:val="00E57B7E"/>
    <w:pPr>
      <w:spacing w:line="240" w:lineRule="auto"/>
    </w:pPr>
    <w:rPr>
      <w:sz w:val="20"/>
      <w:szCs w:val="20"/>
    </w:rPr>
  </w:style>
  <w:style w:type="character" w:customStyle="1" w:styleId="CommentaireCar">
    <w:name w:val="Commentaire Car"/>
    <w:basedOn w:val="Policepardfaut"/>
    <w:link w:val="Commentaire"/>
    <w:uiPriority w:val="99"/>
    <w:rsid w:val="00E57B7E"/>
    <w:rPr>
      <w:sz w:val="20"/>
      <w:szCs w:val="20"/>
    </w:rPr>
  </w:style>
  <w:style w:type="paragraph" w:styleId="Objetducommentaire">
    <w:name w:val="annotation subject"/>
    <w:basedOn w:val="Commentaire"/>
    <w:next w:val="Commentaire"/>
    <w:link w:val="ObjetducommentaireCar"/>
    <w:uiPriority w:val="99"/>
    <w:semiHidden/>
    <w:unhideWhenUsed/>
    <w:rsid w:val="00E57B7E"/>
    <w:rPr>
      <w:b/>
      <w:bCs/>
    </w:rPr>
  </w:style>
  <w:style w:type="character" w:customStyle="1" w:styleId="ObjetducommentaireCar">
    <w:name w:val="Objet du commentaire Car"/>
    <w:basedOn w:val="CommentaireCar"/>
    <w:link w:val="Objetducommentaire"/>
    <w:uiPriority w:val="99"/>
    <w:semiHidden/>
    <w:rsid w:val="00E57B7E"/>
    <w:rPr>
      <w:b/>
      <w:bCs/>
      <w:sz w:val="20"/>
      <w:szCs w:val="20"/>
    </w:rPr>
  </w:style>
  <w:style w:type="paragraph" w:styleId="Textedebulles">
    <w:name w:val="Balloon Text"/>
    <w:basedOn w:val="Normal"/>
    <w:link w:val="TextedebullesCar"/>
    <w:uiPriority w:val="99"/>
    <w:semiHidden/>
    <w:unhideWhenUsed/>
    <w:rsid w:val="00E57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0497">
      <w:bodyDiv w:val="1"/>
      <w:marLeft w:val="0"/>
      <w:marRight w:val="0"/>
      <w:marTop w:val="0"/>
      <w:marBottom w:val="0"/>
      <w:divBdr>
        <w:top w:val="none" w:sz="0" w:space="0" w:color="auto"/>
        <w:left w:val="none" w:sz="0" w:space="0" w:color="auto"/>
        <w:bottom w:val="none" w:sz="0" w:space="0" w:color="auto"/>
        <w:right w:val="none" w:sz="0" w:space="0" w:color="auto"/>
      </w:divBdr>
    </w:div>
    <w:div w:id="844053938">
      <w:bodyDiv w:val="1"/>
      <w:marLeft w:val="0"/>
      <w:marRight w:val="0"/>
      <w:marTop w:val="0"/>
      <w:marBottom w:val="0"/>
      <w:divBdr>
        <w:top w:val="none" w:sz="0" w:space="0" w:color="auto"/>
        <w:left w:val="none" w:sz="0" w:space="0" w:color="auto"/>
        <w:bottom w:val="none" w:sz="0" w:space="0" w:color="auto"/>
        <w:right w:val="none" w:sz="0" w:space="0" w:color="auto"/>
      </w:divBdr>
    </w:div>
    <w:div w:id="890264471">
      <w:bodyDiv w:val="1"/>
      <w:marLeft w:val="0"/>
      <w:marRight w:val="0"/>
      <w:marTop w:val="0"/>
      <w:marBottom w:val="0"/>
      <w:divBdr>
        <w:top w:val="none" w:sz="0" w:space="0" w:color="auto"/>
        <w:left w:val="none" w:sz="0" w:space="0" w:color="auto"/>
        <w:bottom w:val="none" w:sz="0" w:space="0" w:color="auto"/>
        <w:right w:val="none" w:sz="0" w:space="0" w:color="auto"/>
      </w:divBdr>
    </w:div>
    <w:div w:id="1034110834">
      <w:bodyDiv w:val="1"/>
      <w:marLeft w:val="0"/>
      <w:marRight w:val="0"/>
      <w:marTop w:val="0"/>
      <w:marBottom w:val="0"/>
      <w:divBdr>
        <w:top w:val="none" w:sz="0" w:space="0" w:color="auto"/>
        <w:left w:val="none" w:sz="0" w:space="0" w:color="auto"/>
        <w:bottom w:val="none" w:sz="0" w:space="0" w:color="auto"/>
        <w:right w:val="none" w:sz="0" w:space="0" w:color="auto"/>
      </w:divBdr>
    </w:div>
    <w:div w:id="10708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pp.tdh.ch/qualit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7ECB-1511-424C-A273-0A243B94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Allison Noiran</cp:lastModifiedBy>
  <cp:revision>4</cp:revision>
  <dcterms:created xsi:type="dcterms:W3CDTF">2017-09-06T08:23:00Z</dcterms:created>
  <dcterms:modified xsi:type="dcterms:W3CDTF">2017-09-07T09:09:00Z</dcterms:modified>
</cp:coreProperties>
</file>