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717E" w14:textId="77777777" w:rsidR="00911F53" w:rsidRDefault="008B6AFB">
      <w:pPr>
        <w:jc w:val="center"/>
        <w:rPr>
          <w:rFonts w:ascii="Calibri" w:eastAsia="Calibri" w:hAnsi="Calibri" w:cs="Times New Roman"/>
          <w:b/>
          <w:color w:val="17365D" w:themeColor="text2" w:themeShade="BF"/>
          <w:sz w:val="24"/>
        </w:rPr>
      </w:pPr>
      <w:r>
        <w:rPr>
          <w:rFonts w:ascii="Calibri" w:eastAsia="Calibri" w:hAnsi="Calibri" w:cs="Times New Roman"/>
          <w:b/>
          <w:color w:val="17365D" w:themeColor="text2" w:themeShade="BF"/>
          <w:sz w:val="24"/>
        </w:rPr>
        <w:t>Tdh Program Contribution 2017-2020 / Strategic Plan 2016-2020</w:t>
      </w:r>
    </w:p>
    <w:p w14:paraId="60D7DECA" w14:textId="77777777" w:rsidR="00911F53" w:rsidRDefault="008B6AFB">
      <w:pPr>
        <w:jc w:val="center"/>
        <w:rPr>
          <w:rFonts w:ascii="Calibri" w:eastAsia="Calibri" w:hAnsi="Calibri" w:cs="Times New Roman"/>
          <w:b/>
          <w:color w:val="17365D" w:themeColor="text2" w:themeShade="BF"/>
          <w:sz w:val="32"/>
        </w:rPr>
      </w:pPr>
      <w:r>
        <w:rPr>
          <w:rFonts w:ascii="Calibri" w:eastAsia="Calibri" w:hAnsi="Calibri" w:cs="Times New Roman"/>
          <w:b/>
          <w:color w:val="17365D" w:themeColor="text2" w:themeShade="BF"/>
          <w:sz w:val="24"/>
        </w:rPr>
        <w:t>Program Indicators</w:t>
      </w:r>
    </w:p>
    <w:p w14:paraId="69332D99" w14:textId="2E381F58" w:rsidR="00911F53" w:rsidRDefault="008B6AFB">
      <w:pPr>
        <w:rPr>
          <w:b/>
          <w:color w:val="17365D" w:themeColor="text2" w:themeShade="BF"/>
          <w:sz w:val="32"/>
        </w:rPr>
      </w:pPr>
      <w:r>
        <w:rPr>
          <w:b/>
          <w:color w:val="17365D" w:themeColor="text2" w:themeShade="BF"/>
          <w:sz w:val="32"/>
        </w:rPr>
        <w:t>Indicator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911F53" w14:paraId="41C310A8"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F812BF" w14:textId="77777777" w:rsidR="00911F53" w:rsidRDefault="008B6AFB">
            <w:pPr>
              <w:tabs>
                <w:tab w:val="left" w:pos="3960"/>
              </w:tabs>
              <w:spacing w:after="120" w:line="240" w:lineRule="auto"/>
              <w:rPr>
                <w:rFonts w:eastAsia="Calibri" w:cs="Calibri"/>
                <w:b/>
                <w:sz w:val="20"/>
              </w:rPr>
            </w:pPr>
            <w:r>
              <w:rPr>
                <w:rFonts w:eastAsia="Calibri" w:cs="Calibri"/>
                <w:b/>
                <w:sz w:val="20"/>
              </w:rPr>
              <w:t>Indicator (Title)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E5282" w14:textId="0853B1DC" w:rsidR="00911F53" w:rsidRDefault="008B6AFB">
            <w:pPr>
              <w:spacing w:after="0"/>
            </w:pPr>
            <w:r>
              <w:t>Positions of children and young people affected by migration are taken into account in advocacy and communication documents, and in the context of national, regional or global events.</w:t>
            </w:r>
          </w:p>
          <w:p w14:paraId="787896E9" w14:textId="77777777" w:rsidR="00911F53" w:rsidRDefault="00911F53">
            <w:pPr>
              <w:spacing w:after="0"/>
              <w:rPr>
                <w:rFonts w:cs="Arial"/>
                <w:color w:val="222222"/>
              </w:rPr>
            </w:pPr>
            <w:bookmarkStart w:id="0" w:name="_GoBack"/>
            <w:bookmarkEnd w:id="0"/>
          </w:p>
          <w:p w14:paraId="67959559" w14:textId="5B316FE9" w:rsidR="00911F53" w:rsidRDefault="008B6AFB">
            <w:pPr>
              <w:spacing w:after="0"/>
              <w:rPr>
                <w:rFonts w:cs="Arial"/>
                <w:color w:val="222222"/>
              </w:rPr>
            </w:pPr>
            <w:r>
              <w:rPr>
                <w:rFonts w:cs="Arial"/>
                <w:color w:val="222222"/>
              </w:rPr>
              <w:t>Target:</w:t>
            </w:r>
            <w:r w:rsidR="00FB4FF1">
              <w:rPr>
                <w:rFonts w:cs="Arial"/>
                <w:color w:val="222222"/>
              </w:rPr>
              <w:t xml:space="preserve"> /</w:t>
            </w:r>
          </w:p>
        </w:tc>
      </w:tr>
      <w:tr w:rsidR="00911F53" w14:paraId="0AF5D5EC"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763FE9" w14:textId="129F3010" w:rsidR="00911F53" w:rsidRDefault="004F5352">
            <w:pPr>
              <w:tabs>
                <w:tab w:val="left" w:pos="3960"/>
              </w:tabs>
              <w:spacing w:after="120" w:line="240" w:lineRule="auto"/>
              <w:rPr>
                <w:rFonts w:eastAsia="Calibri" w:cs="Calibri"/>
                <w:b/>
                <w:sz w:val="20"/>
              </w:rPr>
            </w:pPr>
            <w:r>
              <w:rPr>
                <w:rFonts w:eastAsia="Calibri" w:cs="Calibri"/>
                <w:b/>
                <w:sz w:val="20"/>
              </w:rPr>
              <w:t>Definition</w:t>
            </w:r>
          </w:p>
          <w:p w14:paraId="0DB5150E" w14:textId="77777777" w:rsidR="00911F53" w:rsidRDefault="008B6AFB">
            <w:pPr>
              <w:tabs>
                <w:tab w:val="left" w:pos="3960"/>
              </w:tabs>
              <w:spacing w:after="120" w:line="240" w:lineRule="auto"/>
              <w:rPr>
                <w:rFonts w:eastAsia="Calibri" w:cs="Calibri"/>
                <w:b/>
                <w:sz w:val="20"/>
              </w:rPr>
            </w:pPr>
            <w:r>
              <w:rPr>
                <w:rFonts w:cs="Arial"/>
                <w:noProof/>
                <w:sz w:val="18"/>
                <w:lang w:val="en-US"/>
              </w:rPr>
              <w:drawing>
                <wp:inline distT="0" distB="0" distL="0" distR="0" wp14:anchorId="57AEDFC5" wp14:editId="6ACB65DA">
                  <wp:extent cx="496800" cy="4968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0 Reduced inqual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E32E3" w14:textId="223D5DCA" w:rsidR="00911F53" w:rsidRDefault="00335559">
            <w:pPr>
              <w:spacing w:after="0"/>
            </w:pPr>
            <w:r>
              <w:rPr>
                <w:u w:val="single"/>
              </w:rPr>
              <w:t>Positions</w:t>
            </w:r>
            <w:r>
              <w:t>:</w:t>
            </w:r>
            <w:r w:rsidR="008B6AFB">
              <w:t xml:space="preserve"> views and perspectives shared as part of activities dedicated to the protection or the improvement of the situation of children. These positions can be oral or written via any medium (computer, </w:t>
            </w:r>
            <w:r>
              <w:t>audio-visual</w:t>
            </w:r>
            <w:r w:rsidR="008B6AFB">
              <w:t xml:space="preserve">, </w:t>
            </w:r>
            <w:r>
              <w:t>etc.</w:t>
            </w:r>
            <w:r w:rsidR="008B6AFB">
              <w:t>).</w:t>
            </w:r>
          </w:p>
          <w:p w14:paraId="4926C8A4" w14:textId="77777777" w:rsidR="00911F53" w:rsidRDefault="00911F53">
            <w:pPr>
              <w:spacing w:after="0"/>
            </w:pPr>
          </w:p>
          <w:p w14:paraId="09A1528F" w14:textId="77777777" w:rsidR="00911F53" w:rsidRDefault="008B6AFB">
            <w:pPr>
              <w:spacing w:after="0"/>
            </w:pPr>
            <w:r>
              <w:rPr>
                <w:u w:val="single"/>
              </w:rPr>
              <w:t>Children</w:t>
            </w:r>
            <w:r>
              <w:t xml:space="preserve"> Under 18.  </w:t>
            </w:r>
            <w:r>
              <w:rPr>
                <w:u w:val="single"/>
              </w:rPr>
              <w:t>Young people</w:t>
            </w:r>
            <w:r>
              <w:t xml:space="preserve"> : 18-24 years old</w:t>
            </w:r>
          </w:p>
          <w:p w14:paraId="2D2543A8" w14:textId="77777777" w:rsidR="00911F53" w:rsidRDefault="00911F53">
            <w:pPr>
              <w:spacing w:after="0"/>
            </w:pPr>
          </w:p>
          <w:p w14:paraId="512E8F64" w14:textId="1F310A00" w:rsidR="00911F53" w:rsidRDefault="008B6AFB">
            <w:pPr>
              <w:spacing w:after="0"/>
            </w:pPr>
            <w:r>
              <w:rPr>
                <w:u w:val="single"/>
              </w:rPr>
              <w:t>Children and young people affected by migration</w:t>
            </w:r>
            <w:r>
              <w:t xml:space="preserve"> :</w:t>
            </w:r>
            <w:r w:rsidR="005F567F">
              <w:t xml:space="preserve"> </w:t>
            </w:r>
            <w:r>
              <w:t>Any child/young person belonging to one of the 4 following categories:</w:t>
            </w:r>
          </w:p>
          <w:p w14:paraId="023FCB58" w14:textId="2743D438" w:rsidR="00911F53" w:rsidRDefault="008B6AFB">
            <w:pPr>
              <w:pStyle w:val="Paragraphedeliste"/>
              <w:numPr>
                <w:ilvl w:val="0"/>
                <w:numId w:val="22"/>
              </w:numPr>
              <w:spacing w:after="0"/>
            </w:pPr>
            <w:r>
              <w:t>Children and you</w:t>
            </w:r>
            <w:r w:rsidR="005F567F">
              <w:t xml:space="preserve">th </w:t>
            </w:r>
            <w:r>
              <w:t>on the move (engaged in a migration process);</w:t>
            </w:r>
          </w:p>
          <w:p w14:paraId="6468A48A" w14:textId="77777777" w:rsidR="00911F53" w:rsidRDefault="008B6AFB">
            <w:pPr>
              <w:pStyle w:val="Paragraphedeliste"/>
              <w:numPr>
                <w:ilvl w:val="0"/>
                <w:numId w:val="22"/>
              </w:numPr>
              <w:spacing w:after="0"/>
            </w:pPr>
            <w:r>
              <w:t>Children and young people who are potential migrants (living in environments that are significantly marked by the migration of children and young people and/or environments that could prompt them to move for economic, social, cultural, historical, or political reasons, etc.) ;</w:t>
            </w:r>
          </w:p>
          <w:p w14:paraId="1D7D3D78" w14:textId="37222491" w:rsidR="00911F53" w:rsidRDefault="008B6AFB">
            <w:pPr>
              <w:pStyle w:val="Paragraphedeliste"/>
              <w:numPr>
                <w:ilvl w:val="0"/>
                <w:numId w:val="22"/>
              </w:numPr>
              <w:spacing w:after="0"/>
            </w:pPr>
            <w:r>
              <w:t xml:space="preserve">Children and young people whose kin (parents siblings, guardians) </w:t>
            </w:r>
            <w:r w:rsidR="0060130E">
              <w:t xml:space="preserve">have </w:t>
            </w:r>
            <w:r>
              <w:t>migrated (children left behind);</w:t>
            </w:r>
          </w:p>
          <w:p w14:paraId="68ABEE52" w14:textId="703126E8" w:rsidR="00911F53" w:rsidRDefault="008B6AFB">
            <w:pPr>
              <w:pStyle w:val="Paragraphedeliste"/>
              <w:numPr>
                <w:ilvl w:val="0"/>
                <w:numId w:val="22"/>
              </w:numPr>
              <w:spacing w:after="0"/>
            </w:pPr>
            <w:r>
              <w:t xml:space="preserve">Children and young people temporarily or permanently out of migration (integrated, reintegrated, </w:t>
            </w:r>
            <w:r w:rsidR="00335559">
              <w:t>and returned</w:t>
            </w:r>
            <w:r>
              <w:t>).</w:t>
            </w:r>
          </w:p>
          <w:p w14:paraId="48754E5E" w14:textId="77777777" w:rsidR="00911F53" w:rsidRDefault="00911F53">
            <w:pPr>
              <w:spacing w:after="0"/>
            </w:pPr>
          </w:p>
          <w:p w14:paraId="00D8DF59" w14:textId="0894255B" w:rsidR="00911F53" w:rsidRDefault="008B6AFB">
            <w:pPr>
              <w:spacing w:after="0"/>
            </w:pPr>
            <w:r>
              <w:rPr>
                <w:u w:val="single"/>
              </w:rPr>
              <w:t xml:space="preserve">Taken into account in advocacy and communication </w:t>
            </w:r>
            <w:r w:rsidR="00335559">
              <w:rPr>
                <w:u w:val="single"/>
              </w:rPr>
              <w:t>documents</w:t>
            </w:r>
            <w:r w:rsidR="00335559">
              <w:t>:</w:t>
            </w:r>
            <w:r>
              <w:t xml:space="preserve"> </w:t>
            </w:r>
            <w:r w:rsidR="003A6256">
              <w:t xml:space="preserve">total or partial </w:t>
            </w:r>
            <w:r>
              <w:t xml:space="preserve">integration of the point of view, position, or statement of the child or young person in the chosen media for advocacy or communication (report, </w:t>
            </w:r>
            <w:r w:rsidR="00335559">
              <w:t>articles, speeches</w:t>
            </w:r>
            <w:r>
              <w:t>, institutional positioning, transcribed</w:t>
            </w:r>
            <w:r w:rsidR="006101D6">
              <w:t xml:space="preserve"> testimony</w:t>
            </w:r>
            <w:r>
              <w:t>, etc.)</w:t>
            </w:r>
          </w:p>
          <w:p w14:paraId="28988ED6" w14:textId="77777777" w:rsidR="00911F53" w:rsidRDefault="00911F53">
            <w:pPr>
              <w:spacing w:after="0"/>
              <w:rPr>
                <w:u w:val="single"/>
              </w:rPr>
            </w:pPr>
          </w:p>
          <w:p w14:paraId="6A0E73B8" w14:textId="41552A6C" w:rsidR="00911F53" w:rsidRDefault="008B6AFB" w:rsidP="00D24530">
            <w:pPr>
              <w:spacing w:after="0"/>
            </w:pPr>
            <w:r>
              <w:rPr>
                <w:u w:val="single"/>
              </w:rPr>
              <w:t xml:space="preserve">Regarding </w:t>
            </w:r>
            <w:r w:rsidR="00335559">
              <w:rPr>
                <w:u w:val="single"/>
              </w:rPr>
              <w:t xml:space="preserve">events </w:t>
            </w:r>
            <w:r w:rsidR="00335559">
              <w:t>national</w:t>
            </w:r>
            <w:r>
              <w:t xml:space="preserve">, regional and global (for example Global Forum on Migration Development, GFMD). : any public event created to address the issues of general  and specific policy pertaining to migration and their implications on other fields (such as children, the rights of the child, security, border control, the Euro-Mediterranean, enlargement policies, neighbourhood, international conventions, the global pacts, </w:t>
            </w:r>
            <w:r w:rsidR="00D24530">
              <w:t>SDGs</w:t>
            </w:r>
            <w:r>
              <w:t xml:space="preserve">, </w:t>
            </w:r>
            <w:proofErr w:type="spellStart"/>
            <w:r>
              <w:t>etc</w:t>
            </w:r>
            <w:proofErr w:type="spellEnd"/>
            <w:r>
              <w:t>).</w:t>
            </w:r>
          </w:p>
        </w:tc>
      </w:tr>
      <w:tr w:rsidR="00911F53" w14:paraId="07B3904F"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12F92D" w14:textId="77777777" w:rsidR="00911F53" w:rsidRDefault="008B6AFB">
            <w:pPr>
              <w:tabs>
                <w:tab w:val="left" w:pos="3960"/>
              </w:tabs>
              <w:spacing w:after="120" w:line="240" w:lineRule="auto"/>
              <w:rPr>
                <w:rFonts w:eastAsia="Calibri" w:cs="Calibri"/>
                <w:b/>
                <w:sz w:val="20"/>
              </w:rPr>
            </w:pPr>
            <w:r>
              <w:rPr>
                <w:rFonts w:eastAsia="Calibri" w:cs="Calibri"/>
                <w:b/>
                <w:sz w:val="20"/>
              </w:rPr>
              <w:t xml:space="preserve">What it measures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CB84B" w14:textId="77777777" w:rsidR="00911F53" w:rsidRDefault="008B6AFB">
            <w:pPr>
              <w:spacing w:after="0"/>
              <w:rPr>
                <w:rFonts w:cs="Arial"/>
              </w:rPr>
            </w:pPr>
            <w:r>
              <w:rPr>
                <w:rFonts w:cs="Arial"/>
              </w:rPr>
              <w:t>Use:</w:t>
            </w:r>
          </w:p>
          <w:p w14:paraId="256536E6" w14:textId="7B494A78" w:rsidR="00911F53" w:rsidRDefault="008B6AFB">
            <w:pPr>
              <w:pStyle w:val="Paragraphedeliste"/>
              <w:numPr>
                <w:ilvl w:val="0"/>
                <w:numId w:val="13"/>
              </w:numPr>
              <w:spacing w:after="0"/>
              <w:rPr>
                <w:rFonts w:cs="Arial"/>
              </w:rPr>
            </w:pPr>
            <w:r>
              <w:rPr>
                <w:rFonts w:cs="Arial"/>
              </w:rPr>
              <w:lastRenderedPageBreak/>
              <w:t xml:space="preserve">The degree of integration of children's and young people's views </w:t>
            </w:r>
            <w:r w:rsidR="00586FF9">
              <w:rPr>
                <w:rFonts w:cs="Arial"/>
              </w:rPr>
              <w:t xml:space="preserve">in </w:t>
            </w:r>
            <w:r>
              <w:rPr>
                <w:rFonts w:cs="Arial"/>
              </w:rPr>
              <w:t>the standpoints of Tdh and its close partners is representative of the collaborative nature of the process of production of messages.</w:t>
            </w:r>
          </w:p>
          <w:p w14:paraId="63A8071D" w14:textId="0FD13F6B" w:rsidR="00911F53" w:rsidRDefault="008B6AFB">
            <w:pPr>
              <w:pStyle w:val="Paragraphedeliste"/>
              <w:numPr>
                <w:ilvl w:val="0"/>
                <w:numId w:val="13"/>
              </w:numPr>
              <w:spacing w:after="0"/>
              <w:rPr>
                <w:rFonts w:cs="Arial"/>
              </w:rPr>
            </w:pPr>
            <w:r>
              <w:rPr>
                <w:rFonts w:cs="Arial"/>
              </w:rPr>
              <w:t>The diversity of documents and events in which their views are expressed show</w:t>
            </w:r>
            <w:r w:rsidR="008A0286">
              <w:rPr>
                <w:rFonts w:cs="Arial"/>
              </w:rPr>
              <w:t>s</w:t>
            </w:r>
            <w:r>
              <w:rPr>
                <w:rFonts w:cs="Arial"/>
              </w:rPr>
              <w:t xml:space="preserve"> the wide range of frameworks of intervention offered to children and young people at different levels (local, national, regional, global). </w:t>
            </w:r>
          </w:p>
          <w:p w14:paraId="6F69AF28" w14:textId="77777777" w:rsidR="00911F53" w:rsidRDefault="00911F53">
            <w:pPr>
              <w:pStyle w:val="Paragraphedeliste"/>
              <w:spacing w:after="0"/>
              <w:rPr>
                <w:rFonts w:cs="Arial"/>
              </w:rPr>
            </w:pPr>
          </w:p>
          <w:p w14:paraId="6CB1E106" w14:textId="77777777" w:rsidR="00911F53" w:rsidRDefault="008B6AFB">
            <w:pPr>
              <w:spacing w:after="0"/>
              <w:rPr>
                <w:rFonts w:cs="Arial"/>
              </w:rPr>
            </w:pPr>
            <w:r>
              <w:rPr>
                <w:rFonts w:cs="Arial"/>
              </w:rPr>
              <w:t xml:space="preserve">Limits: </w:t>
            </w:r>
          </w:p>
          <w:p w14:paraId="76B8A42B" w14:textId="45BAEA9C" w:rsidR="00911F53" w:rsidRDefault="008B6AFB">
            <w:pPr>
              <w:pStyle w:val="Paragraphedeliste"/>
              <w:numPr>
                <w:ilvl w:val="0"/>
                <w:numId w:val="11"/>
              </w:numPr>
              <w:spacing w:after="0"/>
              <w:rPr>
                <w:rFonts w:cs="Arial"/>
              </w:rPr>
            </w:pPr>
            <w:r>
              <w:rPr>
                <w:rFonts w:cs="Arial"/>
              </w:rPr>
              <w:t xml:space="preserve">The position of the child and the </w:t>
            </w:r>
            <w:r w:rsidR="00323A29">
              <w:rPr>
                <w:rFonts w:cs="Arial"/>
              </w:rPr>
              <w:t>youth</w:t>
            </w:r>
            <w:r>
              <w:rPr>
                <w:rFonts w:cs="Arial"/>
              </w:rPr>
              <w:t xml:space="preserve"> is not the only type of argument for documents or events. A balance is to be found between active participation and contribution to group or institutional thoughts.</w:t>
            </w:r>
          </w:p>
          <w:p w14:paraId="2205FF6A" w14:textId="77777777" w:rsidR="00911F53" w:rsidRDefault="008B6AFB">
            <w:pPr>
              <w:pStyle w:val="Paragraphedeliste"/>
              <w:numPr>
                <w:ilvl w:val="0"/>
                <w:numId w:val="11"/>
              </w:numPr>
              <w:spacing w:after="0"/>
              <w:rPr>
                <w:rFonts w:cs="Arial"/>
              </w:rPr>
            </w:pPr>
            <w:r>
              <w:rPr>
                <w:rFonts w:cs="Arial"/>
              </w:rPr>
              <w:t>There are many risks for the child or the young person:</w:t>
            </w:r>
          </w:p>
          <w:p w14:paraId="6EE1B26D" w14:textId="77777777" w:rsidR="00911F53" w:rsidRDefault="008B6AFB">
            <w:pPr>
              <w:pStyle w:val="Paragraphedeliste"/>
              <w:numPr>
                <w:ilvl w:val="1"/>
                <w:numId w:val="11"/>
              </w:numPr>
              <w:spacing w:after="0"/>
              <w:rPr>
                <w:rFonts w:cs="Arial"/>
              </w:rPr>
            </w:pPr>
            <w:r>
              <w:rPr>
                <w:rFonts w:cs="Arial"/>
              </w:rPr>
              <w:t xml:space="preserve">manipulation, </w:t>
            </w:r>
          </w:p>
          <w:p w14:paraId="5CB4491E" w14:textId="2EC736D1" w:rsidR="00911F53" w:rsidRDefault="00335559">
            <w:pPr>
              <w:pStyle w:val="Paragraphedeliste"/>
              <w:numPr>
                <w:ilvl w:val="1"/>
                <w:numId w:val="11"/>
              </w:numPr>
              <w:spacing w:after="0"/>
              <w:rPr>
                <w:rFonts w:cs="Arial"/>
              </w:rPr>
            </w:pPr>
            <w:r>
              <w:rPr>
                <w:rFonts w:cs="Arial"/>
              </w:rPr>
              <w:t>Suspect</w:t>
            </w:r>
            <w:r w:rsidR="008B6AFB">
              <w:rPr>
                <w:rFonts w:cs="Arial"/>
              </w:rPr>
              <w:t xml:space="preserve"> identity, reputation, sexual orientation, ethnic or religious, affiliations etc.</w:t>
            </w:r>
          </w:p>
          <w:p w14:paraId="0C5198A3" w14:textId="70A8F2BF" w:rsidR="00911F53" w:rsidRDefault="00B1110E">
            <w:pPr>
              <w:pStyle w:val="Paragraphedeliste"/>
              <w:numPr>
                <w:ilvl w:val="0"/>
                <w:numId w:val="11"/>
              </w:numPr>
              <w:spacing w:after="0"/>
              <w:rPr>
                <w:rFonts w:cs="Arial"/>
              </w:rPr>
            </w:pPr>
            <w:r>
              <w:rPr>
                <w:rFonts w:cs="Arial"/>
              </w:rPr>
              <w:t>It is</w:t>
            </w:r>
            <w:r w:rsidR="006C56D5">
              <w:rPr>
                <w:rFonts w:cs="Arial"/>
              </w:rPr>
              <w:t xml:space="preserve"> all the more</w:t>
            </w:r>
            <w:r>
              <w:rPr>
                <w:rFonts w:cs="Arial"/>
              </w:rPr>
              <w:t xml:space="preserve"> important </w:t>
            </w:r>
            <w:r w:rsidR="00420604">
              <w:rPr>
                <w:rFonts w:cs="Arial"/>
              </w:rPr>
              <w:t>to prevent these risks</w:t>
            </w:r>
            <w:r w:rsidR="008B6AFB">
              <w:rPr>
                <w:rFonts w:cs="Arial"/>
              </w:rPr>
              <w:t xml:space="preserve"> as they can affect the structure </w:t>
            </w:r>
            <w:r w:rsidR="00070980">
              <w:rPr>
                <w:rFonts w:cs="Arial"/>
              </w:rPr>
              <w:t>organizing</w:t>
            </w:r>
            <w:r w:rsidR="008B6AFB">
              <w:rPr>
                <w:rFonts w:cs="Arial"/>
              </w:rPr>
              <w:t xml:space="preserve"> consultation or relay</w:t>
            </w:r>
            <w:r w:rsidR="00070980">
              <w:rPr>
                <w:rFonts w:cs="Arial"/>
              </w:rPr>
              <w:t>ing</w:t>
            </w:r>
            <w:r w:rsidR="008B6AFB">
              <w:rPr>
                <w:rFonts w:cs="Arial"/>
              </w:rPr>
              <w:t xml:space="preserve"> the positions.</w:t>
            </w:r>
          </w:p>
          <w:p w14:paraId="48FC52BD" w14:textId="77777777" w:rsidR="00911F53" w:rsidRDefault="00911F53">
            <w:pPr>
              <w:spacing w:after="0"/>
              <w:ind w:left="708"/>
              <w:rPr>
                <w:rFonts w:cs="Arial"/>
              </w:rPr>
            </w:pPr>
          </w:p>
        </w:tc>
      </w:tr>
      <w:tr w:rsidR="00911F53" w14:paraId="12AF3A32"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11A3B3" w14:textId="77777777" w:rsidR="00911F53" w:rsidRDefault="008B6AFB">
            <w:pPr>
              <w:tabs>
                <w:tab w:val="left" w:pos="3960"/>
              </w:tabs>
              <w:spacing w:after="120" w:line="240" w:lineRule="auto"/>
              <w:rPr>
                <w:rFonts w:eastAsia="Calibri" w:cs="Calibri"/>
                <w:b/>
                <w:sz w:val="20"/>
              </w:rPr>
            </w:pPr>
            <w:r>
              <w:rPr>
                <w:rFonts w:eastAsia="Calibri" w:cs="Calibri"/>
                <w:b/>
                <w:sz w:val="20"/>
              </w:rPr>
              <w:lastRenderedPageBreak/>
              <w:t xml:space="preserve">Unity and disaggregation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DE53" w14:textId="1C757A9B" w:rsidR="00911F53" w:rsidRDefault="008B6AFB">
            <w:pPr>
              <w:spacing w:after="0"/>
              <w:rPr>
                <w:rFonts w:eastAsiaTheme="minorEastAsia" w:cs="Arial"/>
              </w:rPr>
            </w:pPr>
            <w:r>
              <w:rPr>
                <w:rFonts w:eastAsiaTheme="minorEastAsia" w:cs="Arial"/>
              </w:rPr>
              <w:t xml:space="preserve">Unit: document </w:t>
            </w:r>
            <w:r w:rsidR="00273653">
              <w:rPr>
                <w:rFonts w:eastAsiaTheme="minorEastAsia" w:cs="Arial"/>
              </w:rPr>
              <w:t>that embeds</w:t>
            </w:r>
            <w:r>
              <w:rPr>
                <w:rFonts w:eastAsiaTheme="minorEastAsia" w:cs="Arial"/>
              </w:rPr>
              <w:t xml:space="preserve"> a position / a child</w:t>
            </w:r>
            <w:r w:rsidR="00802C72">
              <w:rPr>
                <w:rFonts w:eastAsiaTheme="minorEastAsia" w:cs="Arial"/>
              </w:rPr>
              <w:t>’s</w:t>
            </w:r>
            <w:r>
              <w:rPr>
                <w:rFonts w:eastAsiaTheme="minorEastAsia" w:cs="Arial"/>
              </w:rPr>
              <w:t xml:space="preserve"> or young person</w:t>
            </w:r>
            <w:r w:rsidR="00802C72">
              <w:rPr>
                <w:rFonts w:eastAsiaTheme="minorEastAsia" w:cs="Arial"/>
              </w:rPr>
              <w:t>’s</w:t>
            </w:r>
            <w:r>
              <w:rPr>
                <w:rFonts w:eastAsiaTheme="minorEastAsia" w:cs="Arial"/>
              </w:rPr>
              <w:t xml:space="preserve"> point of view </w:t>
            </w:r>
          </w:p>
          <w:p w14:paraId="16B3BEEC" w14:textId="77777777" w:rsidR="00911F53" w:rsidRDefault="00911F53">
            <w:pPr>
              <w:spacing w:after="0"/>
              <w:rPr>
                <w:rFonts w:eastAsiaTheme="minorEastAsia" w:cs="Arial"/>
              </w:rPr>
            </w:pPr>
          </w:p>
          <w:p w14:paraId="2757BAE7" w14:textId="77777777" w:rsidR="00911F53" w:rsidRDefault="008B6AFB">
            <w:pPr>
              <w:spacing w:after="0"/>
              <w:rPr>
                <w:rFonts w:eastAsiaTheme="minorEastAsia" w:cs="Arial"/>
              </w:rPr>
            </w:pPr>
            <w:r>
              <w:rPr>
                <w:rFonts w:eastAsiaTheme="minorEastAsia" w:cs="Arial"/>
              </w:rPr>
              <w:t xml:space="preserve">Disaggregation </w:t>
            </w:r>
          </w:p>
          <w:p w14:paraId="0EC57487" w14:textId="61ED5177" w:rsidR="00911F53" w:rsidRDefault="008B6AFB">
            <w:pPr>
              <w:pStyle w:val="Paragraphedeliste"/>
              <w:numPr>
                <w:ilvl w:val="0"/>
                <w:numId w:val="11"/>
              </w:numPr>
              <w:spacing w:after="0"/>
              <w:rPr>
                <w:rFonts w:eastAsiaTheme="minorEastAsia" w:cs="Arial"/>
              </w:rPr>
            </w:pPr>
            <w:r>
              <w:rPr>
                <w:rFonts w:eastAsiaTheme="minorEastAsia" w:cs="Arial"/>
              </w:rPr>
              <w:t xml:space="preserve">by age category </w:t>
            </w:r>
            <w:r>
              <w:t>0-15 / 16-17 / 18-25 / 25 +</w:t>
            </w:r>
          </w:p>
          <w:p w14:paraId="47F16924" w14:textId="685B352B" w:rsidR="00911F53" w:rsidRDefault="008B6AFB">
            <w:pPr>
              <w:pStyle w:val="Paragraphedeliste"/>
              <w:numPr>
                <w:ilvl w:val="0"/>
                <w:numId w:val="11"/>
              </w:numPr>
              <w:spacing w:after="0"/>
              <w:rPr>
                <w:rFonts w:eastAsiaTheme="minorEastAsia" w:cs="Arial"/>
              </w:rPr>
            </w:pPr>
            <w:r>
              <w:rPr>
                <w:rFonts w:eastAsiaTheme="minorEastAsia" w:cs="Arial"/>
              </w:rPr>
              <w:t>by gen</w:t>
            </w:r>
            <w:r w:rsidR="00FA5FF0">
              <w:rPr>
                <w:rFonts w:eastAsiaTheme="minorEastAsia" w:cs="Arial"/>
              </w:rPr>
              <w:t>der</w:t>
            </w:r>
          </w:p>
          <w:p w14:paraId="749A0F89" w14:textId="53F56517" w:rsidR="00911F53" w:rsidRDefault="008B6AFB">
            <w:pPr>
              <w:pStyle w:val="Paragraphedeliste"/>
              <w:numPr>
                <w:ilvl w:val="0"/>
                <w:numId w:val="11"/>
              </w:numPr>
              <w:spacing w:after="0"/>
              <w:rPr>
                <w:rFonts w:eastAsiaTheme="minorEastAsia" w:cs="Arial"/>
              </w:rPr>
            </w:pPr>
            <w:r>
              <w:rPr>
                <w:rFonts w:eastAsiaTheme="minorEastAsia" w:cs="Arial"/>
              </w:rPr>
              <w:t>by category of children and young people affected by migration</w:t>
            </w:r>
          </w:p>
        </w:tc>
      </w:tr>
      <w:tr w:rsidR="00911F53" w14:paraId="35DA1C74"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DB4763" w14:textId="7E5A4FC8" w:rsidR="00911F53" w:rsidRDefault="008B6AFB">
            <w:pPr>
              <w:tabs>
                <w:tab w:val="left" w:pos="3960"/>
              </w:tabs>
              <w:spacing w:after="120" w:line="240" w:lineRule="auto"/>
              <w:rPr>
                <w:rFonts w:eastAsia="Calibri" w:cs="Calibri"/>
                <w:b/>
                <w:sz w:val="20"/>
              </w:rPr>
            </w:pPr>
            <w:r>
              <w:rPr>
                <w:rFonts w:eastAsia="Calibri" w:cs="Calibri"/>
                <w:b/>
                <w:sz w:val="20"/>
              </w:rPr>
              <w:t>Calculation mode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06B57" w14:textId="465FB754" w:rsidR="00911F53" w:rsidRDefault="003044AA" w:rsidP="00AE697A">
            <w:pPr>
              <w:spacing w:after="0"/>
              <w:rPr>
                <w:rFonts w:cs="Arial"/>
              </w:rPr>
            </w:pPr>
            <w:r>
              <w:rPr>
                <w:rFonts w:cs="Arial"/>
              </w:rPr>
              <w:t>Sum of t</w:t>
            </w:r>
            <w:r w:rsidR="008B6AFB">
              <w:rPr>
                <w:rFonts w:cs="Arial"/>
              </w:rPr>
              <w:t>he number of advocacy documents, communication</w:t>
            </w:r>
            <w:r w:rsidR="00AE697A">
              <w:rPr>
                <w:rFonts w:cs="Arial"/>
              </w:rPr>
              <w:t>s</w:t>
            </w:r>
            <w:r w:rsidR="008B6AFB">
              <w:rPr>
                <w:rFonts w:cs="Arial"/>
              </w:rPr>
              <w:t xml:space="preserve"> and major events </w:t>
            </w:r>
            <w:r w:rsidR="00AE697A">
              <w:rPr>
                <w:rFonts w:cs="Arial"/>
              </w:rPr>
              <w:t>integrating</w:t>
            </w:r>
            <w:r w:rsidR="008B6AFB">
              <w:rPr>
                <w:rFonts w:cs="Arial"/>
              </w:rPr>
              <w:t xml:space="preserve"> one or more than on view, expressed by one or more children or young people.</w:t>
            </w:r>
          </w:p>
        </w:tc>
      </w:tr>
      <w:tr w:rsidR="00911F53" w14:paraId="343BCC9D"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DB2C94" w14:textId="77777777" w:rsidR="00911F53" w:rsidRDefault="008B6AFB">
            <w:pPr>
              <w:tabs>
                <w:tab w:val="left" w:pos="3960"/>
              </w:tabs>
              <w:spacing w:after="120" w:line="240" w:lineRule="auto"/>
              <w:rPr>
                <w:rFonts w:eastAsia="Calibri" w:cs="Calibri"/>
                <w:b/>
                <w:sz w:val="20"/>
                <w:highlight w:val="yellow"/>
              </w:rPr>
            </w:pPr>
            <w:r>
              <w:rPr>
                <w:rFonts w:eastAsia="Calibri" w:cs="Calibri"/>
                <w:b/>
                <w:sz w:val="20"/>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F19321" w14:textId="77777777" w:rsidR="00911F53" w:rsidRDefault="008B6AFB">
            <w:pPr>
              <w:spacing w:after="0"/>
              <w:rPr>
                <w:rFonts w:cs="Arial"/>
              </w:rPr>
            </w:pPr>
            <w:r>
              <w:rPr>
                <w:rFonts w:cs="Arial"/>
              </w:rPr>
              <w:t>N/A</w:t>
            </w:r>
          </w:p>
        </w:tc>
      </w:tr>
      <w:tr w:rsidR="00911F53" w14:paraId="7603FF90"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7EAF64" w14:textId="77777777" w:rsidR="00911F53" w:rsidRDefault="008B6AFB">
            <w:pPr>
              <w:tabs>
                <w:tab w:val="left" w:pos="3960"/>
              </w:tabs>
              <w:spacing w:after="120" w:line="240" w:lineRule="auto"/>
              <w:rPr>
                <w:rFonts w:eastAsia="Calibri" w:cs="Calibri"/>
                <w:b/>
                <w:sz w:val="20"/>
                <w:highlight w:val="yellow"/>
              </w:rPr>
            </w:pPr>
            <w:r>
              <w:rPr>
                <w:rFonts w:eastAsia="Calibri" w:cs="Calibri"/>
                <w:b/>
                <w:sz w:val="20"/>
              </w:rPr>
              <w:t xml:space="preserve">Sources and methods of collection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7195EE" w14:textId="5C6F413C" w:rsidR="00911F53" w:rsidRDefault="00335559">
            <w:pPr>
              <w:spacing w:after="0"/>
              <w:rPr>
                <w:rFonts w:cs="Arial"/>
                <w:u w:val="single"/>
              </w:rPr>
            </w:pPr>
            <w:r>
              <w:rPr>
                <w:rFonts w:cs="Arial"/>
                <w:u w:val="single"/>
              </w:rPr>
              <w:t>Sources</w:t>
            </w:r>
            <w:r>
              <w:rPr>
                <w:rFonts w:cs="Arial"/>
              </w:rPr>
              <w:t>:</w:t>
            </w:r>
            <w:r w:rsidR="008B6AFB">
              <w:rPr>
                <w:rFonts w:cs="Arial"/>
              </w:rPr>
              <w:t xml:space="preserve"> communication and advocacy documents</w:t>
            </w:r>
            <w:r>
              <w:rPr>
                <w:rFonts w:cs="Arial"/>
              </w:rPr>
              <w:t>, event</w:t>
            </w:r>
            <w:r w:rsidR="008B6AFB">
              <w:rPr>
                <w:rFonts w:cs="Arial"/>
              </w:rPr>
              <w:t xml:space="preserve"> results (reports, quote, video reports, minutes of </w:t>
            </w:r>
            <w:r w:rsidR="001F5790">
              <w:rPr>
                <w:rFonts w:cs="Arial"/>
              </w:rPr>
              <w:t>inter</w:t>
            </w:r>
            <w:r w:rsidR="00AD0485">
              <w:rPr>
                <w:rFonts w:cs="Arial"/>
              </w:rPr>
              <w:t xml:space="preserve">agency </w:t>
            </w:r>
            <w:r w:rsidR="008B6AFB">
              <w:rPr>
                <w:rFonts w:cs="Arial"/>
              </w:rPr>
              <w:t xml:space="preserve">meetings, reports of meetings with leading figures and political authorities, </w:t>
            </w:r>
            <w:r>
              <w:rPr>
                <w:rFonts w:cs="Arial"/>
              </w:rPr>
              <w:t>etc.</w:t>
            </w:r>
            <w:r w:rsidR="008B6AFB">
              <w:rPr>
                <w:rFonts w:cs="Arial"/>
              </w:rPr>
              <w:t>).</w:t>
            </w:r>
          </w:p>
          <w:p w14:paraId="5491A3CD" w14:textId="77777777" w:rsidR="00911F53" w:rsidRDefault="00911F53">
            <w:pPr>
              <w:spacing w:after="0"/>
              <w:rPr>
                <w:rFonts w:cs="Arial"/>
                <w:u w:val="single"/>
              </w:rPr>
            </w:pPr>
          </w:p>
          <w:p w14:paraId="02758BD3" w14:textId="5FD5DC10" w:rsidR="00911F53" w:rsidRDefault="008B6AFB">
            <w:pPr>
              <w:spacing w:after="0"/>
              <w:rPr>
                <w:rFonts w:cs="Arial"/>
              </w:rPr>
            </w:pPr>
            <w:r>
              <w:rPr>
                <w:rFonts w:cs="Arial"/>
                <w:u w:val="single"/>
              </w:rPr>
              <w:t>Methods of collection:</w:t>
            </w:r>
            <w:r>
              <w:rPr>
                <w:rFonts w:cs="Arial"/>
              </w:rPr>
              <w:t xml:space="preserve"> document review.</w:t>
            </w:r>
          </w:p>
        </w:tc>
      </w:tr>
      <w:tr w:rsidR="00911F53" w14:paraId="0FA8722A"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4A3436" w14:textId="77777777" w:rsidR="00911F53" w:rsidRDefault="008B6AFB">
            <w:pPr>
              <w:tabs>
                <w:tab w:val="left" w:pos="3960"/>
              </w:tabs>
              <w:spacing w:after="120" w:line="240" w:lineRule="auto"/>
              <w:rPr>
                <w:rFonts w:eastAsia="Calibri" w:cs="Calibri"/>
                <w:b/>
                <w:sz w:val="20"/>
              </w:rPr>
            </w:pPr>
            <w:r>
              <w:rPr>
                <w:rFonts w:eastAsia="Calibri" w:cs="Calibri"/>
                <w:b/>
                <w:sz w:val="20"/>
              </w:rPr>
              <w:t>Collection tools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3B976C" w14:textId="3126877E" w:rsidR="00911F53" w:rsidRDefault="008B6AFB">
            <w:pPr>
              <w:spacing w:after="0"/>
              <w:rPr>
                <w:rFonts w:eastAsiaTheme="minorEastAsia" w:cs="Arial"/>
              </w:rPr>
            </w:pPr>
            <w:r>
              <w:rPr>
                <w:rFonts w:eastAsiaTheme="minorEastAsia" w:cs="Arial"/>
              </w:rPr>
              <w:t>Documentary review and thematic monitoring ensures a consistent record of all the points of view expressed by children/young people in various events and documents.</w:t>
            </w:r>
          </w:p>
          <w:p w14:paraId="685A4E40" w14:textId="7FF66BDF" w:rsidR="00911F53" w:rsidRDefault="00911F53">
            <w:pPr>
              <w:spacing w:after="0"/>
              <w:rPr>
                <w:rFonts w:cs="Arial"/>
              </w:rPr>
            </w:pPr>
          </w:p>
        </w:tc>
      </w:tr>
      <w:tr w:rsidR="00911F53" w14:paraId="6E488FD1" w14:textId="77777777">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14:paraId="125A17B7" w14:textId="77777777" w:rsidR="00911F53" w:rsidRDefault="008B6AFB">
            <w:pPr>
              <w:tabs>
                <w:tab w:val="left" w:pos="3960"/>
              </w:tabs>
              <w:spacing w:after="120" w:line="240" w:lineRule="auto"/>
              <w:rPr>
                <w:rFonts w:eastAsia="Calibri" w:cs="Calibri"/>
                <w:b/>
                <w:sz w:val="20"/>
              </w:rPr>
            </w:pPr>
            <w:r>
              <w:rPr>
                <w:rFonts w:eastAsia="Calibri" w:cs="Calibri"/>
                <w:b/>
                <w:sz w:val="20"/>
              </w:rPr>
              <w:t>Temporality</w:t>
            </w:r>
          </w:p>
        </w:tc>
        <w:tc>
          <w:tcPr>
            <w:tcW w:w="6877" w:type="dxa"/>
            <w:tcBorders>
              <w:top w:val="nil"/>
              <w:left w:val="single" w:sz="4" w:space="0" w:color="auto"/>
              <w:bottom w:val="single" w:sz="4" w:space="0" w:color="auto"/>
              <w:right w:val="single" w:sz="4" w:space="0" w:color="auto"/>
            </w:tcBorders>
            <w:shd w:val="clear" w:color="auto" w:fill="FFFFFF" w:themeFill="background1"/>
          </w:tcPr>
          <w:p w14:paraId="162FDEC9" w14:textId="77777777" w:rsidR="00911F53" w:rsidRDefault="008B6AFB">
            <w:pPr>
              <w:spacing w:after="0" w:line="240" w:lineRule="auto"/>
              <w:rPr>
                <w:rFonts w:eastAsiaTheme="minorEastAsia" w:cs="Arial"/>
              </w:rPr>
            </w:pPr>
            <w:r>
              <w:rPr>
                <w:rFonts w:eastAsiaTheme="minorEastAsia" w:cs="Arial"/>
              </w:rPr>
              <w:t>Continuous systematic monitoring</w:t>
            </w:r>
          </w:p>
        </w:tc>
      </w:tr>
      <w:tr w:rsidR="00911F53" w14:paraId="5FE2050A"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2DCBE" w14:textId="77777777" w:rsidR="00911F53" w:rsidRDefault="008B6AFB">
            <w:pPr>
              <w:tabs>
                <w:tab w:val="left" w:pos="3960"/>
              </w:tabs>
              <w:spacing w:after="120" w:line="240" w:lineRule="auto"/>
              <w:rPr>
                <w:rFonts w:eastAsia="Calibri" w:cs="Calibri"/>
                <w:b/>
                <w:sz w:val="20"/>
              </w:rPr>
            </w:pPr>
            <w:r>
              <w:rPr>
                <w:rFonts w:eastAsia="Calibri" w:cs="Calibri"/>
                <w:b/>
                <w:sz w:val="20"/>
              </w:rPr>
              <w:t xml:space="preserve">Roles and </w:t>
            </w:r>
            <w:r>
              <w:rPr>
                <w:rFonts w:eastAsia="Calibri" w:cs="Calibri"/>
                <w:b/>
                <w:sz w:val="20"/>
              </w:rPr>
              <w:lastRenderedPageBreak/>
              <w:t>responsibilities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DA2B" w14:textId="63DE080E" w:rsidR="00911F53" w:rsidRDefault="00335559">
            <w:pPr>
              <w:spacing w:after="120" w:line="240" w:lineRule="auto"/>
              <w:rPr>
                <w:rFonts w:eastAsiaTheme="minorEastAsia"/>
              </w:rPr>
            </w:pPr>
            <w:r>
              <w:rPr>
                <w:rFonts w:eastAsiaTheme="minorEastAsia"/>
                <w:u w:val="single"/>
              </w:rPr>
              <w:lastRenderedPageBreak/>
              <w:t>Collection</w:t>
            </w:r>
            <w:r>
              <w:rPr>
                <w:rFonts w:eastAsiaTheme="minorEastAsia"/>
              </w:rPr>
              <w:t>:</w:t>
            </w:r>
            <w:r w:rsidR="008B6AFB">
              <w:rPr>
                <w:rFonts w:eastAsiaTheme="minorEastAsia"/>
              </w:rPr>
              <w:t xml:space="preserve"> people organising or participating </w:t>
            </w:r>
            <w:r w:rsidR="00537059">
              <w:rPr>
                <w:rFonts w:eastAsiaTheme="minorEastAsia"/>
              </w:rPr>
              <w:t>to</w:t>
            </w:r>
            <w:r w:rsidR="008B6AFB">
              <w:rPr>
                <w:rFonts w:eastAsiaTheme="minorEastAsia"/>
              </w:rPr>
              <w:t xml:space="preserve"> activities (depending on </w:t>
            </w:r>
            <w:r w:rsidR="008B6AFB">
              <w:rPr>
                <w:rFonts w:eastAsiaTheme="minorEastAsia"/>
              </w:rPr>
              <w:lastRenderedPageBreak/>
              <w:t xml:space="preserve">the configuration of the project or team), in collaboration with the communication team if one exists. </w:t>
            </w:r>
          </w:p>
          <w:p w14:paraId="684FDE27" w14:textId="1018187E" w:rsidR="00911F53" w:rsidRDefault="008B6AFB">
            <w:pPr>
              <w:spacing w:after="120" w:line="240" w:lineRule="auto"/>
              <w:rPr>
                <w:rFonts w:eastAsiaTheme="minorEastAsia"/>
              </w:rPr>
            </w:pPr>
            <w:r>
              <w:rPr>
                <w:rFonts w:eastAsiaTheme="minorEastAsia"/>
                <w:u w:val="single"/>
              </w:rPr>
              <w:t>Treatment and analysis</w:t>
            </w:r>
            <w:r>
              <w:rPr>
                <w:rFonts w:eastAsiaTheme="minorEastAsia"/>
              </w:rPr>
              <w:t xml:space="preserve"> : Project Manager and/or communications manager and/or delegate and regional coordinator of the migration program</w:t>
            </w:r>
            <w:r w:rsidR="00537059">
              <w:rPr>
                <w:rFonts w:eastAsiaTheme="minorEastAsia"/>
              </w:rPr>
              <w:t>me</w:t>
            </w:r>
          </w:p>
        </w:tc>
      </w:tr>
      <w:tr w:rsidR="00911F53" w14:paraId="734240D7"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B2F7F8" w14:textId="77777777" w:rsidR="00911F53" w:rsidRDefault="008B6AFB">
            <w:pPr>
              <w:tabs>
                <w:tab w:val="left" w:pos="3960"/>
              </w:tabs>
              <w:spacing w:after="120" w:line="240" w:lineRule="auto"/>
              <w:rPr>
                <w:rFonts w:eastAsia="Calibri" w:cs="Calibri"/>
                <w:b/>
                <w:sz w:val="20"/>
              </w:rPr>
            </w:pPr>
            <w:r>
              <w:rPr>
                <w:rFonts w:eastAsia="Calibri" w:cs="Calibri"/>
                <w:b/>
                <w:sz w:val="20"/>
              </w:rPr>
              <w:lastRenderedPageBreak/>
              <w:t>Issues related to the recommended quality</w:t>
            </w:r>
          </w:p>
          <w:p w14:paraId="6EF82B37" w14:textId="77777777" w:rsidR="00911F53" w:rsidRDefault="00911F53">
            <w:pPr>
              <w:tabs>
                <w:tab w:val="left" w:pos="3960"/>
              </w:tabs>
              <w:spacing w:after="120" w:line="240" w:lineRule="auto"/>
              <w:rPr>
                <w:rFonts w:eastAsia="Calibri" w:cs="Calibri"/>
                <w:b/>
                <w:sz w:val="20"/>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2B2D63" w14:textId="5578FE8A" w:rsidR="00911F53" w:rsidRDefault="008B6AFB">
            <w:pPr>
              <w:spacing w:after="0" w:line="240" w:lineRule="auto"/>
              <w:rPr>
                <w:rFonts w:eastAsiaTheme="minorEastAsia" w:cs="Arial"/>
              </w:rPr>
            </w:pPr>
            <w:r>
              <w:rPr>
                <w:rFonts w:cs="Arial"/>
              </w:rPr>
              <w:t>Ensure documentation of the change process, making sure to produce key documents (reports of activity, minutes, position papers...) and by using a regular, systematic and rigorous collection of other source elements, particularly qualitative evidence showing or supporting the argument that Tdh originally produced or contributed to the observed change.</w:t>
            </w:r>
          </w:p>
          <w:p w14:paraId="698C264C" w14:textId="77777777" w:rsidR="00911F53" w:rsidRDefault="00911F53">
            <w:pPr>
              <w:spacing w:after="0" w:line="240" w:lineRule="auto"/>
              <w:rPr>
                <w:rFonts w:eastAsiaTheme="minorEastAsia" w:cs="Arial"/>
              </w:rPr>
            </w:pPr>
          </w:p>
          <w:p w14:paraId="025B6CD8" w14:textId="10CEC5DB" w:rsidR="00911F53" w:rsidRDefault="008B6AFB" w:rsidP="00BA67CD">
            <w:pPr>
              <w:spacing w:after="0" w:line="240" w:lineRule="auto"/>
              <w:rPr>
                <w:rFonts w:eastAsiaTheme="minorEastAsia" w:cs="Arial"/>
              </w:rPr>
            </w:pPr>
            <w:r>
              <w:rPr>
                <w:rFonts w:eastAsiaTheme="minorEastAsia" w:cs="Arial"/>
              </w:rPr>
              <w:t xml:space="preserve">It should </w:t>
            </w:r>
            <w:r w:rsidR="004F45C9">
              <w:rPr>
                <w:rFonts w:eastAsiaTheme="minorEastAsia" w:cs="Arial"/>
              </w:rPr>
              <w:t xml:space="preserve">be </w:t>
            </w:r>
            <w:r>
              <w:rPr>
                <w:rFonts w:eastAsiaTheme="minorEastAsia" w:cs="Arial"/>
              </w:rPr>
              <w:t>demonstrate</w:t>
            </w:r>
            <w:r w:rsidR="004F45C9">
              <w:rPr>
                <w:rFonts w:eastAsiaTheme="minorEastAsia" w:cs="Arial"/>
              </w:rPr>
              <w:t>d</w:t>
            </w:r>
            <w:r>
              <w:rPr>
                <w:rFonts w:eastAsiaTheme="minorEastAsia" w:cs="Arial"/>
              </w:rPr>
              <w:t xml:space="preserve"> that the process </w:t>
            </w:r>
            <w:r w:rsidR="00446FFA">
              <w:rPr>
                <w:rFonts w:eastAsiaTheme="minorEastAsia" w:cs="Arial"/>
              </w:rPr>
              <w:t>through which</w:t>
            </w:r>
            <w:r>
              <w:rPr>
                <w:rFonts w:eastAsiaTheme="minorEastAsia" w:cs="Arial"/>
              </w:rPr>
              <w:t xml:space="preserve"> </w:t>
            </w:r>
            <w:proofErr w:type="spellStart"/>
            <w:r>
              <w:rPr>
                <w:rFonts w:eastAsiaTheme="minorEastAsia" w:cs="Arial"/>
              </w:rPr>
              <w:t>Tdh</w:t>
            </w:r>
            <w:proofErr w:type="spellEnd"/>
            <w:r>
              <w:rPr>
                <w:rFonts w:eastAsiaTheme="minorEastAsia" w:cs="Arial"/>
              </w:rPr>
              <w:t xml:space="preserve"> and its close partners </w:t>
            </w:r>
            <w:r w:rsidR="00446FFA">
              <w:rPr>
                <w:rFonts w:eastAsiaTheme="minorEastAsia" w:cs="Arial"/>
              </w:rPr>
              <w:t xml:space="preserve">take a </w:t>
            </w:r>
            <w:r>
              <w:rPr>
                <w:rFonts w:eastAsiaTheme="minorEastAsia" w:cs="Arial"/>
              </w:rPr>
              <w:t>stance and communicat</w:t>
            </w:r>
            <w:r w:rsidR="00446FFA">
              <w:rPr>
                <w:rFonts w:eastAsiaTheme="minorEastAsia" w:cs="Arial"/>
              </w:rPr>
              <w:t>es</w:t>
            </w:r>
            <w:r>
              <w:rPr>
                <w:rFonts w:eastAsiaTheme="minorEastAsia" w:cs="Arial"/>
              </w:rPr>
              <w:t xml:space="preserve"> on migration issues involves a necessary consultation and integration of the views of children and young people. This process a high degree of representativeness and accountability.</w:t>
            </w:r>
          </w:p>
        </w:tc>
      </w:tr>
      <w:tr w:rsidR="00911F53" w14:paraId="6EE8B68F"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3B03CB" w14:textId="77777777" w:rsidR="00911F53" w:rsidRDefault="008B6AFB">
            <w:pPr>
              <w:tabs>
                <w:tab w:val="left" w:pos="3960"/>
              </w:tabs>
              <w:spacing w:after="120" w:line="240" w:lineRule="auto"/>
              <w:rPr>
                <w:rFonts w:eastAsia="Calibri" w:cs="Calibri"/>
                <w:b/>
                <w:sz w:val="20"/>
              </w:rPr>
            </w:pPr>
            <w:r>
              <w:rPr>
                <w:rFonts w:eastAsia="Calibri" w:cs="Calibri"/>
                <w:b/>
                <w:sz w:val="20"/>
              </w:rPr>
              <w:t>Analysis Plan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9B9A" w14:textId="67891489" w:rsidR="00911F53" w:rsidRDefault="008B6AFB">
            <w:pPr>
              <w:spacing w:after="0" w:line="240" w:lineRule="auto"/>
            </w:pPr>
            <w:r>
              <w:t xml:space="preserve">It should add the number of documents incorporating the opinions and views of children and young people, by </w:t>
            </w:r>
            <w:r w:rsidR="000C6602">
              <w:t xml:space="preserve">describing </w:t>
            </w:r>
            <w:r>
              <w:t>the content and context of the oral or written response.</w:t>
            </w:r>
          </w:p>
          <w:p w14:paraId="100C53D1" w14:textId="335E8EF7" w:rsidR="00911F53" w:rsidRDefault="008B6AFB">
            <w:pPr>
              <w:spacing w:after="0" w:line="240" w:lineRule="auto"/>
              <w:rPr>
                <w:rFonts w:eastAsiaTheme="minorEastAsia" w:cs="Arial"/>
              </w:rPr>
            </w:pPr>
            <w:r>
              <w:t>On this basis, it should assess the impact of the views of children and young people on the conduct and conclusions / follow-up of the event (decisions, recommendations, road map, etc.)</w:t>
            </w:r>
          </w:p>
        </w:tc>
      </w:tr>
      <w:tr w:rsidR="00911F53" w14:paraId="15154EBB" w14:textId="7777777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B9E1B" w14:textId="30CBC4DB" w:rsidR="00911F53" w:rsidRDefault="008B6AFB">
            <w:pPr>
              <w:tabs>
                <w:tab w:val="left" w:pos="3960"/>
              </w:tabs>
              <w:spacing w:after="120" w:line="240" w:lineRule="auto"/>
              <w:rPr>
                <w:rFonts w:eastAsia="Calibri" w:cs="Calibri"/>
                <w:b/>
                <w:sz w:val="20"/>
              </w:rPr>
            </w:pPr>
            <w:r>
              <w:rPr>
                <w:rFonts w:eastAsia="Calibri" w:cs="Calibri"/>
                <w:b/>
                <w:sz w:val="20"/>
              </w:rPr>
              <w:t xml:space="preserve">Resources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F9241" w14:textId="77777777" w:rsidR="00911F53" w:rsidRDefault="008B6AFB">
            <w:pPr>
              <w:spacing w:after="0" w:line="240" w:lineRule="auto"/>
              <w:rPr>
                <w:rFonts w:eastAsiaTheme="minorEastAsia" w:cs="Arial"/>
              </w:rPr>
            </w:pPr>
            <w:r>
              <w:rPr>
                <w:rFonts w:eastAsiaTheme="minorEastAsia" w:cs="Arial"/>
              </w:rPr>
              <w:t>The collection of information related to this indicator requires no additional resources to those already committed to conduct the business and develop new products for the analysis (output, outcome, impact)</w:t>
            </w:r>
          </w:p>
        </w:tc>
      </w:tr>
    </w:tbl>
    <w:p w14:paraId="4B6D8FB1" w14:textId="77777777" w:rsidR="00911F53" w:rsidRDefault="00911F53">
      <w:pPr>
        <w:rPr>
          <w:b/>
        </w:rPr>
      </w:pPr>
    </w:p>
    <w:p w14:paraId="35D2A71B" w14:textId="77777777" w:rsidR="00911F53" w:rsidRDefault="00911F53">
      <w:pPr>
        <w:rPr>
          <w:rFonts w:cs="Helv"/>
          <w:color w:val="000000"/>
          <w:sz w:val="20"/>
        </w:rPr>
      </w:pPr>
    </w:p>
    <w:p w14:paraId="3BD863BA" w14:textId="77777777" w:rsidR="00911F53" w:rsidRDefault="00911F53">
      <w:pPr>
        <w:rPr>
          <w:rFonts w:cs="Helv"/>
          <w:color w:val="000000"/>
          <w:sz w:val="20"/>
        </w:rPr>
      </w:pPr>
    </w:p>
    <w:sectPr w:rsidR="00911F5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9AAD" w14:textId="77777777" w:rsidR="00932B2B" w:rsidRDefault="00932B2B">
      <w:pPr>
        <w:spacing w:after="0" w:line="240" w:lineRule="auto"/>
      </w:pPr>
      <w:r>
        <w:separator/>
      </w:r>
    </w:p>
  </w:endnote>
  <w:endnote w:type="continuationSeparator" w:id="0">
    <w:p w14:paraId="40E95540" w14:textId="77777777" w:rsidR="00932B2B" w:rsidRDefault="0093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240C2" w14:textId="77777777" w:rsidR="00932B2B" w:rsidRDefault="00932B2B">
      <w:pPr>
        <w:spacing w:after="0" w:line="240" w:lineRule="auto"/>
      </w:pPr>
      <w:r>
        <w:separator/>
      </w:r>
    </w:p>
  </w:footnote>
  <w:footnote w:type="continuationSeparator" w:id="0">
    <w:p w14:paraId="3C60DF74" w14:textId="77777777" w:rsidR="00932B2B" w:rsidRDefault="0093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61F6" w14:textId="0B2A6669" w:rsidR="00911F53" w:rsidRDefault="00FB4FF1">
    <w:pPr>
      <w:pStyle w:val="En-tte"/>
      <w:rPr>
        <w:i/>
      </w:rPr>
    </w:pPr>
    <w:r>
      <w:rPr>
        <w:i/>
      </w:rPr>
      <w:tab/>
    </w:r>
    <w:r>
      <w:rPr>
        <w:i/>
      </w:rPr>
      <w:tab/>
    </w:r>
    <w:r>
      <w:rPr>
        <w:i/>
        <w:noProof/>
        <w:lang w:val="en-US"/>
      </w:rPr>
      <w:drawing>
        <wp:inline distT="0" distB="0" distL="0" distR="0" wp14:anchorId="3C3575F0" wp14:editId="69FA40DE">
          <wp:extent cx="1800225" cy="314325"/>
          <wp:effectExtent l="0" t="0" r="9525" b="9525"/>
          <wp:docPr id="1" name="Image 1" descr="C:\Users\smr\AppData\Local\Temp\notesDA01AE\Logo_Tdh_english_RGB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AppData\Local\Temp\notesDA01AE\Logo_Tdh_english_RGB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0D"/>
    <w:multiLevelType w:val="hybridMultilevel"/>
    <w:tmpl w:val="655AC2EA"/>
    <w:lvl w:ilvl="0" w:tplc="B1F204E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3333D4B"/>
    <w:multiLevelType w:val="hybridMultilevel"/>
    <w:tmpl w:val="73A27BFC"/>
    <w:lvl w:ilvl="0" w:tplc="51CA1802">
      <w:start w:val="1"/>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C506CF"/>
    <w:multiLevelType w:val="hybridMultilevel"/>
    <w:tmpl w:val="59F805B0"/>
    <w:lvl w:ilvl="0" w:tplc="6C4AD3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B857F31"/>
    <w:multiLevelType w:val="hybridMultilevel"/>
    <w:tmpl w:val="4EBE2C5C"/>
    <w:lvl w:ilvl="0" w:tplc="91F4AEC6">
      <w:start w:val="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FC2047"/>
    <w:multiLevelType w:val="hybridMultilevel"/>
    <w:tmpl w:val="14AEA4FE"/>
    <w:lvl w:ilvl="0" w:tplc="D1E48E78">
      <w:numFmt w:val="bullet"/>
      <w:lvlText w:val="-"/>
      <w:lvlJc w:val="left"/>
      <w:pPr>
        <w:ind w:left="720" w:hanging="360"/>
      </w:pPr>
      <w:rPr>
        <w:rFonts w:ascii="Arial" w:eastAsiaTheme="minorHAnsi" w:hAnsi="Arial" w:cs="Arial" w:hint="default"/>
        <w:color w:val="222222"/>
        <w:sz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DC759A8"/>
    <w:multiLevelType w:val="hybridMultilevel"/>
    <w:tmpl w:val="9158622E"/>
    <w:lvl w:ilvl="0" w:tplc="589495F0">
      <w:start w:val="1"/>
      <w:numFmt w:val="decimal"/>
      <w:lvlText w:val="%1."/>
      <w:lvlJc w:val="left"/>
      <w:pPr>
        <w:ind w:left="934" w:hanging="360"/>
      </w:pPr>
      <w:rPr>
        <w:rFonts w:hint="default"/>
      </w:rPr>
    </w:lvl>
    <w:lvl w:ilvl="1" w:tplc="100C0019" w:tentative="1">
      <w:start w:val="1"/>
      <w:numFmt w:val="lowerLetter"/>
      <w:lvlText w:val="%2."/>
      <w:lvlJc w:val="left"/>
      <w:pPr>
        <w:ind w:left="1654" w:hanging="360"/>
      </w:pPr>
    </w:lvl>
    <w:lvl w:ilvl="2" w:tplc="100C001B" w:tentative="1">
      <w:start w:val="1"/>
      <w:numFmt w:val="lowerRoman"/>
      <w:lvlText w:val="%3."/>
      <w:lvlJc w:val="right"/>
      <w:pPr>
        <w:ind w:left="2374" w:hanging="180"/>
      </w:pPr>
    </w:lvl>
    <w:lvl w:ilvl="3" w:tplc="100C000F" w:tentative="1">
      <w:start w:val="1"/>
      <w:numFmt w:val="decimal"/>
      <w:lvlText w:val="%4."/>
      <w:lvlJc w:val="left"/>
      <w:pPr>
        <w:ind w:left="3094" w:hanging="360"/>
      </w:pPr>
    </w:lvl>
    <w:lvl w:ilvl="4" w:tplc="100C0019" w:tentative="1">
      <w:start w:val="1"/>
      <w:numFmt w:val="lowerLetter"/>
      <w:lvlText w:val="%5."/>
      <w:lvlJc w:val="left"/>
      <w:pPr>
        <w:ind w:left="3814" w:hanging="360"/>
      </w:pPr>
    </w:lvl>
    <w:lvl w:ilvl="5" w:tplc="100C001B" w:tentative="1">
      <w:start w:val="1"/>
      <w:numFmt w:val="lowerRoman"/>
      <w:lvlText w:val="%6."/>
      <w:lvlJc w:val="right"/>
      <w:pPr>
        <w:ind w:left="4534" w:hanging="180"/>
      </w:pPr>
    </w:lvl>
    <w:lvl w:ilvl="6" w:tplc="100C000F" w:tentative="1">
      <w:start w:val="1"/>
      <w:numFmt w:val="decimal"/>
      <w:lvlText w:val="%7."/>
      <w:lvlJc w:val="left"/>
      <w:pPr>
        <w:ind w:left="5254" w:hanging="360"/>
      </w:pPr>
    </w:lvl>
    <w:lvl w:ilvl="7" w:tplc="100C0019" w:tentative="1">
      <w:start w:val="1"/>
      <w:numFmt w:val="lowerLetter"/>
      <w:lvlText w:val="%8."/>
      <w:lvlJc w:val="left"/>
      <w:pPr>
        <w:ind w:left="5974" w:hanging="360"/>
      </w:pPr>
    </w:lvl>
    <w:lvl w:ilvl="8" w:tplc="100C001B" w:tentative="1">
      <w:start w:val="1"/>
      <w:numFmt w:val="lowerRoman"/>
      <w:lvlText w:val="%9."/>
      <w:lvlJc w:val="right"/>
      <w:pPr>
        <w:ind w:left="6694" w:hanging="180"/>
      </w:pPr>
    </w:lvl>
  </w:abstractNum>
  <w:abstractNum w:abstractNumId="6">
    <w:nsid w:val="31357E4C"/>
    <w:multiLevelType w:val="hybridMultilevel"/>
    <w:tmpl w:val="BFE8E31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6424ECD"/>
    <w:multiLevelType w:val="hybridMultilevel"/>
    <w:tmpl w:val="2B407B00"/>
    <w:lvl w:ilvl="0" w:tplc="100C0019">
      <w:start w:val="1"/>
      <w:numFmt w:val="lowerLetter"/>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8">
    <w:nsid w:val="3A4D4B17"/>
    <w:multiLevelType w:val="hybridMultilevel"/>
    <w:tmpl w:val="F0EAEF64"/>
    <w:lvl w:ilvl="0" w:tplc="6D98E0D4">
      <w:start w:val="1"/>
      <w:numFmt w:val="decimal"/>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9">
    <w:nsid w:val="449C5393"/>
    <w:multiLevelType w:val="hybridMultilevel"/>
    <w:tmpl w:val="88AEDF02"/>
    <w:lvl w:ilvl="0" w:tplc="BAC46B80">
      <w:start w:val="3"/>
      <w:numFmt w:val="decimal"/>
      <w:lvlText w:val="%1."/>
      <w:lvlJc w:val="left"/>
      <w:pPr>
        <w:ind w:left="720" w:hanging="360"/>
      </w:pPr>
      <w:rPr>
        <w:rFonts w:hint="default"/>
      </w:r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10">
    <w:nsid w:val="493834D3"/>
    <w:multiLevelType w:val="multilevel"/>
    <w:tmpl w:val="F4CA7488"/>
    <w:lvl w:ilvl="0">
      <w:start w:val="1"/>
      <w:numFmt w:val="decimal"/>
      <w:lvlText w:val="%1"/>
      <w:lvlJc w:val="left"/>
      <w:pPr>
        <w:ind w:left="360" w:hanging="360"/>
      </w:pPr>
      <w:rPr>
        <w:rFonts w:hint="default"/>
      </w:rPr>
    </w:lvl>
    <w:lvl w:ilvl="1">
      <w:start w:val="1"/>
      <w:numFmt w:val="decimal"/>
      <w:lvlText w:val="%2."/>
      <w:lvlJc w:val="left"/>
      <w:pPr>
        <w:ind w:left="450" w:hanging="360"/>
      </w:pPr>
      <w:rPr>
        <w:rFonts w:eastAsia="Calibri"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11">
    <w:nsid w:val="4B541787"/>
    <w:multiLevelType w:val="hybridMultilevel"/>
    <w:tmpl w:val="361E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776B4"/>
    <w:multiLevelType w:val="hybridMultilevel"/>
    <w:tmpl w:val="A122485C"/>
    <w:lvl w:ilvl="0" w:tplc="45D44C72">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7B6183D"/>
    <w:multiLevelType w:val="hybridMultilevel"/>
    <w:tmpl w:val="2048EC1C"/>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5D5310BE"/>
    <w:multiLevelType w:val="hybridMultilevel"/>
    <w:tmpl w:val="F2A084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662B4EEC"/>
    <w:multiLevelType w:val="hybridMultilevel"/>
    <w:tmpl w:val="336E76B2"/>
    <w:lvl w:ilvl="0" w:tplc="0826F4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6580365"/>
    <w:multiLevelType w:val="hybridMultilevel"/>
    <w:tmpl w:val="BCAA5FF6"/>
    <w:lvl w:ilvl="0" w:tplc="495EFC7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A420AED"/>
    <w:multiLevelType w:val="hybridMultilevel"/>
    <w:tmpl w:val="BF4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17"/>
  </w:num>
  <w:num w:numId="5">
    <w:abstractNumId w:val="17"/>
  </w:num>
  <w:num w:numId="6">
    <w:abstractNumId w:val="0"/>
  </w:num>
  <w:num w:numId="7">
    <w:abstractNumId w:val="15"/>
  </w:num>
  <w:num w:numId="8">
    <w:abstractNumId w:val="4"/>
  </w:num>
  <w:num w:numId="9">
    <w:abstractNumId w:val="6"/>
  </w:num>
  <w:num w:numId="10">
    <w:abstractNumId w:val="14"/>
  </w:num>
  <w:num w:numId="11">
    <w:abstractNumId w:val="1"/>
  </w:num>
  <w:num w:numId="12">
    <w:abstractNumId w:val="16"/>
  </w:num>
  <w:num w:numId="13">
    <w:abstractNumId w:val="2"/>
  </w:num>
  <w:num w:numId="14">
    <w:abstractNumId w:val="3"/>
  </w:num>
  <w:num w:numId="15">
    <w:abstractNumId w:val="8"/>
  </w:num>
  <w:num w:numId="16">
    <w:abstractNumId w:val="10"/>
  </w:num>
  <w:num w:numId="17">
    <w:abstractNumId w:val="18"/>
  </w:num>
  <w:num w:numId="18">
    <w:abstractNumId w:val="11"/>
  </w:num>
  <w:num w:numId="19">
    <w:abstractNumId w:val="7"/>
  </w:num>
  <w:num w:numId="20">
    <w:abstractNumId w:val="9"/>
  </w:num>
  <w:num w:numId="21">
    <w:abstractNumId w:val="13"/>
  </w:num>
  <w:num w:numId="22">
    <w:abstractNumId w:val="1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2B"/>
    <w:rsid w:val="000061CE"/>
    <w:rsid w:val="00036D1D"/>
    <w:rsid w:val="000429FD"/>
    <w:rsid w:val="0005659C"/>
    <w:rsid w:val="000617FF"/>
    <w:rsid w:val="00061F73"/>
    <w:rsid w:val="00070980"/>
    <w:rsid w:val="00071BF2"/>
    <w:rsid w:val="000764A9"/>
    <w:rsid w:val="0007695E"/>
    <w:rsid w:val="000806BC"/>
    <w:rsid w:val="00090CDB"/>
    <w:rsid w:val="000B3677"/>
    <w:rsid w:val="000C0BD0"/>
    <w:rsid w:val="000C2DD7"/>
    <w:rsid w:val="000C2F35"/>
    <w:rsid w:val="000C6602"/>
    <w:rsid w:val="000D1A79"/>
    <w:rsid w:val="000D33C0"/>
    <w:rsid w:val="000D62FF"/>
    <w:rsid w:val="000F03AA"/>
    <w:rsid w:val="00104C70"/>
    <w:rsid w:val="0012124A"/>
    <w:rsid w:val="00131A1C"/>
    <w:rsid w:val="00165846"/>
    <w:rsid w:val="001C4BA4"/>
    <w:rsid w:val="001D0209"/>
    <w:rsid w:val="001D1600"/>
    <w:rsid w:val="001D6D40"/>
    <w:rsid w:val="001E165A"/>
    <w:rsid w:val="001E6AC4"/>
    <w:rsid w:val="001F5790"/>
    <w:rsid w:val="00203871"/>
    <w:rsid w:val="00205494"/>
    <w:rsid w:val="00207A99"/>
    <w:rsid w:val="002207FE"/>
    <w:rsid w:val="00226764"/>
    <w:rsid w:val="002369AB"/>
    <w:rsid w:val="00273653"/>
    <w:rsid w:val="003044AA"/>
    <w:rsid w:val="00323A29"/>
    <w:rsid w:val="003349FD"/>
    <w:rsid w:val="00335559"/>
    <w:rsid w:val="003550AC"/>
    <w:rsid w:val="003704C9"/>
    <w:rsid w:val="003914A2"/>
    <w:rsid w:val="003A6256"/>
    <w:rsid w:val="003B6A4F"/>
    <w:rsid w:val="003C45D6"/>
    <w:rsid w:val="003C6DF1"/>
    <w:rsid w:val="003F00D5"/>
    <w:rsid w:val="003F31AD"/>
    <w:rsid w:val="003F4F1F"/>
    <w:rsid w:val="0041148C"/>
    <w:rsid w:val="004154B8"/>
    <w:rsid w:val="00420604"/>
    <w:rsid w:val="0042528D"/>
    <w:rsid w:val="00446FFA"/>
    <w:rsid w:val="00457DC7"/>
    <w:rsid w:val="00484B04"/>
    <w:rsid w:val="004921A9"/>
    <w:rsid w:val="004A6FFE"/>
    <w:rsid w:val="004B0EEE"/>
    <w:rsid w:val="004D6020"/>
    <w:rsid w:val="004D637A"/>
    <w:rsid w:val="004E6E7B"/>
    <w:rsid w:val="004F45C9"/>
    <w:rsid w:val="004F5352"/>
    <w:rsid w:val="00502303"/>
    <w:rsid w:val="005062BA"/>
    <w:rsid w:val="00520B88"/>
    <w:rsid w:val="00537059"/>
    <w:rsid w:val="0055016C"/>
    <w:rsid w:val="005749C1"/>
    <w:rsid w:val="00576CB5"/>
    <w:rsid w:val="005774F6"/>
    <w:rsid w:val="00586FF9"/>
    <w:rsid w:val="005A18E3"/>
    <w:rsid w:val="005A6DFA"/>
    <w:rsid w:val="005B3E23"/>
    <w:rsid w:val="005B7385"/>
    <w:rsid w:val="005F567F"/>
    <w:rsid w:val="005F7B50"/>
    <w:rsid w:val="00600988"/>
    <w:rsid w:val="0060130E"/>
    <w:rsid w:val="00601627"/>
    <w:rsid w:val="00604B3E"/>
    <w:rsid w:val="006101D6"/>
    <w:rsid w:val="006143A8"/>
    <w:rsid w:val="00617BD8"/>
    <w:rsid w:val="0062726B"/>
    <w:rsid w:val="00656591"/>
    <w:rsid w:val="006642EC"/>
    <w:rsid w:val="006735B7"/>
    <w:rsid w:val="006755A1"/>
    <w:rsid w:val="00684EFC"/>
    <w:rsid w:val="00691A2B"/>
    <w:rsid w:val="006B058F"/>
    <w:rsid w:val="006C1677"/>
    <w:rsid w:val="006C1D40"/>
    <w:rsid w:val="006C56D5"/>
    <w:rsid w:val="006F3470"/>
    <w:rsid w:val="00700D29"/>
    <w:rsid w:val="007022A4"/>
    <w:rsid w:val="007047A5"/>
    <w:rsid w:val="00733E40"/>
    <w:rsid w:val="0073491A"/>
    <w:rsid w:val="007647A6"/>
    <w:rsid w:val="007708DC"/>
    <w:rsid w:val="00783F38"/>
    <w:rsid w:val="00793DE8"/>
    <w:rsid w:val="007C73DE"/>
    <w:rsid w:val="007E2A62"/>
    <w:rsid w:val="007F4011"/>
    <w:rsid w:val="00802C72"/>
    <w:rsid w:val="00806557"/>
    <w:rsid w:val="00806849"/>
    <w:rsid w:val="00816A6E"/>
    <w:rsid w:val="00817E3F"/>
    <w:rsid w:val="008550EE"/>
    <w:rsid w:val="0085580A"/>
    <w:rsid w:val="008904EF"/>
    <w:rsid w:val="008A0286"/>
    <w:rsid w:val="008A35A5"/>
    <w:rsid w:val="008B5824"/>
    <w:rsid w:val="008B6AFB"/>
    <w:rsid w:val="008B6CE8"/>
    <w:rsid w:val="008C2FCC"/>
    <w:rsid w:val="008E1AE4"/>
    <w:rsid w:val="008F593A"/>
    <w:rsid w:val="009005EE"/>
    <w:rsid w:val="0090522B"/>
    <w:rsid w:val="00911F53"/>
    <w:rsid w:val="00932B2B"/>
    <w:rsid w:val="009518A6"/>
    <w:rsid w:val="009562AE"/>
    <w:rsid w:val="00961357"/>
    <w:rsid w:val="009B34EE"/>
    <w:rsid w:val="009C1115"/>
    <w:rsid w:val="009C369C"/>
    <w:rsid w:val="009D5712"/>
    <w:rsid w:val="009E1523"/>
    <w:rsid w:val="009E2D68"/>
    <w:rsid w:val="00A036BB"/>
    <w:rsid w:val="00A04086"/>
    <w:rsid w:val="00A07DC8"/>
    <w:rsid w:val="00A15D22"/>
    <w:rsid w:val="00A22ADB"/>
    <w:rsid w:val="00A24A07"/>
    <w:rsid w:val="00A27313"/>
    <w:rsid w:val="00A56EBA"/>
    <w:rsid w:val="00A61451"/>
    <w:rsid w:val="00A622A1"/>
    <w:rsid w:val="00A73CC2"/>
    <w:rsid w:val="00A87BD5"/>
    <w:rsid w:val="00AB46AB"/>
    <w:rsid w:val="00AB5329"/>
    <w:rsid w:val="00AC78C4"/>
    <w:rsid w:val="00AD0485"/>
    <w:rsid w:val="00AE697A"/>
    <w:rsid w:val="00AF586D"/>
    <w:rsid w:val="00B02567"/>
    <w:rsid w:val="00B049A6"/>
    <w:rsid w:val="00B064AC"/>
    <w:rsid w:val="00B1110E"/>
    <w:rsid w:val="00B362B8"/>
    <w:rsid w:val="00B50358"/>
    <w:rsid w:val="00B8158D"/>
    <w:rsid w:val="00B86205"/>
    <w:rsid w:val="00BA1796"/>
    <w:rsid w:val="00BA67CD"/>
    <w:rsid w:val="00BC0011"/>
    <w:rsid w:val="00BC6F6F"/>
    <w:rsid w:val="00C1603E"/>
    <w:rsid w:val="00C305D6"/>
    <w:rsid w:val="00C35426"/>
    <w:rsid w:val="00C36ABF"/>
    <w:rsid w:val="00C51FA8"/>
    <w:rsid w:val="00C63E8C"/>
    <w:rsid w:val="00C771ED"/>
    <w:rsid w:val="00C876A1"/>
    <w:rsid w:val="00C8775D"/>
    <w:rsid w:val="00CA2E81"/>
    <w:rsid w:val="00CB1204"/>
    <w:rsid w:val="00CB552F"/>
    <w:rsid w:val="00CD43E8"/>
    <w:rsid w:val="00CD703D"/>
    <w:rsid w:val="00CE2368"/>
    <w:rsid w:val="00CF7168"/>
    <w:rsid w:val="00D21877"/>
    <w:rsid w:val="00D24530"/>
    <w:rsid w:val="00D34ECD"/>
    <w:rsid w:val="00D47A47"/>
    <w:rsid w:val="00D50649"/>
    <w:rsid w:val="00D51FD2"/>
    <w:rsid w:val="00D76B6A"/>
    <w:rsid w:val="00D94F7B"/>
    <w:rsid w:val="00D96ED6"/>
    <w:rsid w:val="00DB2B6D"/>
    <w:rsid w:val="00DD73FC"/>
    <w:rsid w:val="00E03A0A"/>
    <w:rsid w:val="00E42B75"/>
    <w:rsid w:val="00E50EC5"/>
    <w:rsid w:val="00E53DAC"/>
    <w:rsid w:val="00E749AE"/>
    <w:rsid w:val="00EC0166"/>
    <w:rsid w:val="00EC1500"/>
    <w:rsid w:val="00EC18BB"/>
    <w:rsid w:val="00EC2F52"/>
    <w:rsid w:val="00EC661D"/>
    <w:rsid w:val="00F106AA"/>
    <w:rsid w:val="00F223CF"/>
    <w:rsid w:val="00F71A44"/>
    <w:rsid w:val="00F75232"/>
    <w:rsid w:val="00F82644"/>
    <w:rsid w:val="00F83976"/>
    <w:rsid w:val="00F925CF"/>
    <w:rsid w:val="00F95320"/>
    <w:rsid w:val="00FA5FF0"/>
    <w:rsid w:val="00FA77D6"/>
    <w:rsid w:val="00FB02AC"/>
    <w:rsid w:val="00FB4FF1"/>
    <w:rsid w:val="00FC2323"/>
    <w:rsid w:val="00FD21F1"/>
    <w:rsid w:val="00FD30E3"/>
    <w:rsid w:val="00FE6A3B"/>
    <w:rsid w:val="00FF56F5"/>
    <w:rsid w:val="00FF6895"/>
    <w:rsid w:val="00FF70C1"/>
    <w:rsid w:val="0A80A87C"/>
    <w:rsid w:val="37F9ECC7"/>
    <w:rsid w:val="447B5418"/>
    <w:rsid w:val="4DDE67E4"/>
    <w:rsid w:val="6CA6097F"/>
    <w:rsid w:val="7C4A8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link w:val="ParagraphedelisteCar"/>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A622A1"/>
    <w:rPr>
      <w:sz w:val="16"/>
      <w:szCs w:val="16"/>
    </w:rPr>
  </w:style>
  <w:style w:type="paragraph" w:styleId="Commentaire">
    <w:name w:val="annotation text"/>
    <w:basedOn w:val="Normal"/>
    <w:link w:val="CommentaireCar"/>
    <w:uiPriority w:val="99"/>
    <w:semiHidden/>
    <w:unhideWhenUsed/>
    <w:rsid w:val="00A622A1"/>
    <w:pPr>
      <w:spacing w:line="240" w:lineRule="auto"/>
    </w:pPr>
    <w:rPr>
      <w:sz w:val="20"/>
      <w:szCs w:val="20"/>
    </w:rPr>
  </w:style>
  <w:style w:type="character" w:customStyle="1" w:styleId="CommentaireCar">
    <w:name w:val="Commentaire Car"/>
    <w:basedOn w:val="Policepardfaut"/>
    <w:link w:val="Commentaire"/>
    <w:uiPriority w:val="99"/>
    <w:semiHidden/>
    <w:rsid w:val="00A622A1"/>
    <w:rPr>
      <w:sz w:val="20"/>
      <w:szCs w:val="20"/>
    </w:rPr>
  </w:style>
  <w:style w:type="paragraph" w:styleId="Objetducommentaire">
    <w:name w:val="annotation subject"/>
    <w:basedOn w:val="Commentaire"/>
    <w:next w:val="Commentaire"/>
    <w:link w:val="ObjetducommentaireCar"/>
    <w:uiPriority w:val="99"/>
    <w:semiHidden/>
    <w:unhideWhenUsed/>
    <w:rsid w:val="00A622A1"/>
    <w:rPr>
      <w:b/>
      <w:bCs/>
    </w:rPr>
  </w:style>
  <w:style w:type="character" w:customStyle="1" w:styleId="ObjetducommentaireCar">
    <w:name w:val="Objet du commentaire Car"/>
    <w:basedOn w:val="CommentaireCar"/>
    <w:link w:val="Objetducommentaire"/>
    <w:uiPriority w:val="99"/>
    <w:semiHidden/>
    <w:rsid w:val="00A622A1"/>
    <w:rPr>
      <w:b/>
      <w:bCs/>
      <w:sz w:val="20"/>
      <w:szCs w:val="20"/>
    </w:rPr>
  </w:style>
  <w:style w:type="paragraph" w:styleId="Rvision">
    <w:name w:val="Revision"/>
    <w:hidden/>
    <w:uiPriority w:val="99"/>
    <w:semiHidden/>
    <w:rsid w:val="00090CDB"/>
    <w:pPr>
      <w:spacing w:after="0" w:line="240" w:lineRule="auto"/>
    </w:pPr>
  </w:style>
  <w:style w:type="character" w:customStyle="1" w:styleId="ParagraphedelisteCar">
    <w:name w:val="Paragraphe de liste Car"/>
    <w:link w:val="Paragraphedeliste"/>
    <w:uiPriority w:val="34"/>
    <w:locked/>
    <w:rsid w:val="00E0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link w:val="ParagraphedelisteCar"/>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2"/>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A622A1"/>
    <w:rPr>
      <w:sz w:val="16"/>
      <w:szCs w:val="16"/>
    </w:rPr>
  </w:style>
  <w:style w:type="paragraph" w:styleId="Commentaire">
    <w:name w:val="annotation text"/>
    <w:basedOn w:val="Normal"/>
    <w:link w:val="CommentaireCar"/>
    <w:uiPriority w:val="99"/>
    <w:semiHidden/>
    <w:unhideWhenUsed/>
    <w:rsid w:val="00A622A1"/>
    <w:pPr>
      <w:spacing w:line="240" w:lineRule="auto"/>
    </w:pPr>
    <w:rPr>
      <w:sz w:val="20"/>
      <w:szCs w:val="20"/>
    </w:rPr>
  </w:style>
  <w:style w:type="character" w:customStyle="1" w:styleId="CommentaireCar">
    <w:name w:val="Commentaire Car"/>
    <w:basedOn w:val="Policepardfaut"/>
    <w:link w:val="Commentaire"/>
    <w:uiPriority w:val="99"/>
    <w:semiHidden/>
    <w:rsid w:val="00A622A1"/>
    <w:rPr>
      <w:sz w:val="20"/>
      <w:szCs w:val="20"/>
    </w:rPr>
  </w:style>
  <w:style w:type="paragraph" w:styleId="Objetducommentaire">
    <w:name w:val="annotation subject"/>
    <w:basedOn w:val="Commentaire"/>
    <w:next w:val="Commentaire"/>
    <w:link w:val="ObjetducommentaireCar"/>
    <w:uiPriority w:val="99"/>
    <w:semiHidden/>
    <w:unhideWhenUsed/>
    <w:rsid w:val="00A622A1"/>
    <w:rPr>
      <w:b/>
      <w:bCs/>
    </w:rPr>
  </w:style>
  <w:style w:type="character" w:customStyle="1" w:styleId="ObjetducommentaireCar">
    <w:name w:val="Objet du commentaire Car"/>
    <w:basedOn w:val="CommentaireCar"/>
    <w:link w:val="Objetducommentaire"/>
    <w:uiPriority w:val="99"/>
    <w:semiHidden/>
    <w:rsid w:val="00A622A1"/>
    <w:rPr>
      <w:b/>
      <w:bCs/>
      <w:sz w:val="20"/>
      <w:szCs w:val="20"/>
    </w:rPr>
  </w:style>
  <w:style w:type="paragraph" w:styleId="Rvision">
    <w:name w:val="Revision"/>
    <w:hidden/>
    <w:uiPriority w:val="99"/>
    <w:semiHidden/>
    <w:rsid w:val="00090CDB"/>
    <w:pPr>
      <w:spacing w:after="0" w:line="240" w:lineRule="auto"/>
    </w:pPr>
  </w:style>
  <w:style w:type="character" w:customStyle="1" w:styleId="ParagraphedelisteCar">
    <w:name w:val="Paragraphe de liste Car"/>
    <w:link w:val="Paragraphedeliste"/>
    <w:uiPriority w:val="34"/>
    <w:locked/>
    <w:rsid w:val="00E0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8984">
      <w:bodyDiv w:val="1"/>
      <w:marLeft w:val="0"/>
      <w:marRight w:val="0"/>
      <w:marTop w:val="0"/>
      <w:marBottom w:val="0"/>
      <w:divBdr>
        <w:top w:val="none" w:sz="0" w:space="0" w:color="auto"/>
        <w:left w:val="none" w:sz="0" w:space="0" w:color="auto"/>
        <w:bottom w:val="none" w:sz="0" w:space="0" w:color="auto"/>
        <w:right w:val="none" w:sz="0" w:space="0" w:color="auto"/>
      </w:divBdr>
    </w:div>
    <w:div w:id="13845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D0FE-435E-435B-8479-C2D1010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4</cp:revision>
  <dcterms:created xsi:type="dcterms:W3CDTF">2017-10-17T14:28:00Z</dcterms:created>
  <dcterms:modified xsi:type="dcterms:W3CDTF">2017-11-23T09:56:00Z</dcterms:modified>
</cp:coreProperties>
</file>