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F0" w:rsidRDefault="001E20F0" w:rsidP="001E20F0">
      <w:pPr>
        <w:jc w:val="center"/>
        <w:rPr>
          <w:b/>
          <w:color w:val="17365D" w:themeColor="text2" w:themeShade="BF"/>
          <w:sz w:val="32"/>
          <w:szCs w:val="32"/>
          <w:lang w:val="fr-FR"/>
        </w:rPr>
      </w:pPr>
    </w:p>
    <w:p w:rsidR="0085237C" w:rsidRPr="0085237C" w:rsidRDefault="0085237C" w:rsidP="0085237C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</w:pPr>
      <w:r w:rsidRPr="0085237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 xml:space="preserve">Contribution Programme </w:t>
      </w:r>
      <w:proofErr w:type="spellStart"/>
      <w:r w:rsidRPr="0085237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>Tdh</w:t>
      </w:r>
      <w:proofErr w:type="spellEnd"/>
      <w:r w:rsidRPr="0085237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 xml:space="preserve"> 2017-2020</w:t>
      </w:r>
    </w:p>
    <w:p w:rsidR="0085237C" w:rsidRPr="0085237C" w:rsidRDefault="0085237C" w:rsidP="0085237C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</w:pPr>
      <w:r w:rsidRPr="0085237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>Plan stratégique 2016-2020</w:t>
      </w:r>
    </w:p>
    <w:p w:rsidR="0085237C" w:rsidRPr="0085237C" w:rsidRDefault="0085237C" w:rsidP="0085237C">
      <w:pPr>
        <w:jc w:val="center"/>
        <w:rPr>
          <w:b/>
          <w:sz w:val="24"/>
          <w:szCs w:val="24"/>
          <w:lang w:val="fr-FR"/>
        </w:rPr>
      </w:pPr>
      <w:r w:rsidRPr="0085237C">
        <w:rPr>
          <w:b/>
          <w:color w:val="17365D" w:themeColor="text2" w:themeShade="BF"/>
          <w:sz w:val="24"/>
          <w:szCs w:val="24"/>
          <w:lang w:val="fr-FR"/>
        </w:rPr>
        <w:t>Indicateurs programmatiques</w:t>
      </w:r>
    </w:p>
    <w:p w:rsidR="001E20F0" w:rsidRDefault="001E20F0" w:rsidP="0085237C">
      <w:pPr>
        <w:rPr>
          <w:b/>
          <w:lang w:val="fr-FR"/>
        </w:rPr>
      </w:pPr>
      <w:r>
        <w:rPr>
          <w:b/>
          <w:lang w:val="fr-FR"/>
        </w:rPr>
        <w:t>Programme Migration</w:t>
      </w:r>
    </w:p>
    <w:p w:rsidR="001E20F0" w:rsidRPr="007D5491" w:rsidRDefault="001E20F0" w:rsidP="001E20F0">
      <w:pPr>
        <w:pStyle w:val="Sansinterligne"/>
        <w:spacing w:before="60" w:after="60"/>
        <w:jc w:val="both"/>
        <w:rPr>
          <w:rFonts w:eastAsia="Calibri" w:cs="Arial"/>
        </w:rPr>
      </w:pPr>
      <w:r w:rsidRPr="007D5491">
        <w:rPr>
          <w:b/>
          <w:lang w:val="fr-FR"/>
        </w:rPr>
        <w:t>Résultat</w:t>
      </w:r>
      <w:r w:rsidRPr="007D5491">
        <w:rPr>
          <w:lang w:val="fr-FR"/>
        </w:rPr>
        <w:t> :</w:t>
      </w:r>
      <w:r w:rsidRPr="007D5491">
        <w:rPr>
          <w:rFonts w:eastAsia="Calibri" w:cs="Arial"/>
        </w:rPr>
        <w:t xml:space="preserve"> Sur 4 flux majeurs, en amont et aux différentes étapes de leur parcours migratoire, les enfants bénéficient de services i</w:t>
      </w:r>
      <w:bookmarkStart w:id="0" w:name="_GoBack"/>
      <w:bookmarkEnd w:id="0"/>
      <w:r w:rsidRPr="007D5491">
        <w:rPr>
          <w:rFonts w:eastAsia="Calibri" w:cs="Arial"/>
        </w:rPr>
        <w:t>nstitutionnels et de mécanismes communautaires de qualité et coordonnés en matière de prévention des formes de traite et de migrations précoces et/ou forcées, de solutions alternatives à la migration, de réduction des risques encourus durant la migration, de renforcement des capacités de protection et d’autoprotection des enfants et des jeunes migrants et d'amélioration des services d’accueil, d’intégration et de retour/réintégration.</w:t>
      </w:r>
    </w:p>
    <w:p w:rsidR="001E20F0" w:rsidRDefault="001E20F0" w:rsidP="001E20F0">
      <w:pPr>
        <w:rPr>
          <w:b/>
          <w:lang w:val="fr-FR"/>
        </w:rPr>
      </w:pPr>
      <w:r>
        <w:rPr>
          <w:b/>
          <w:lang w:val="fr-FR"/>
        </w:rPr>
        <w:t xml:space="preserve">Pays concernés : </w:t>
      </w:r>
      <w:r w:rsidRPr="00FD1AB8">
        <w:rPr>
          <w:lang w:val="fr-FR"/>
        </w:rPr>
        <w:t xml:space="preserve">L’ensemble des pays </w:t>
      </w:r>
      <w:r w:rsidR="00FD1AB8" w:rsidRPr="00FD1AB8">
        <w:rPr>
          <w:lang w:val="fr-FR"/>
        </w:rPr>
        <w:t>Européens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877"/>
      </w:tblGrid>
      <w:tr w:rsidR="001E20F0" w:rsidRPr="00D8283B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20F0" w:rsidRPr="00203871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</w:pPr>
            <w:proofErr w:type="spellStart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Indicateur</w:t>
            </w:r>
            <w:proofErr w:type="spellEnd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Titre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0F0" w:rsidRDefault="001E20F0" w:rsidP="00503B32">
            <w:pPr>
              <w:rPr>
                <w:rFonts w:eastAsia="Calibri" w:cs="Arial"/>
                <w:lang w:val="fr-FR" w:eastAsia="fr-FR"/>
              </w:rPr>
            </w:pPr>
            <w:r w:rsidRPr="00435811">
              <w:rPr>
                <w:rFonts w:eastAsia="Calibri" w:cs="Arial"/>
                <w:lang w:val="fr-FR" w:eastAsia="fr-FR"/>
              </w:rPr>
              <w:t>La résilience de plus de 16'000 enfants</w:t>
            </w:r>
            <w:r w:rsidR="00503B32" w:rsidRPr="00435811">
              <w:rPr>
                <w:rFonts w:eastAsia="Calibri" w:cs="Arial"/>
                <w:lang w:val="fr-FR" w:eastAsia="fr-FR"/>
              </w:rPr>
              <w:t xml:space="preserve"> </w:t>
            </w:r>
            <w:r w:rsidR="00FD1AB8" w:rsidRPr="00435811">
              <w:rPr>
                <w:rFonts w:eastAsia="Calibri" w:cs="Arial"/>
                <w:lang w:val="fr-FR" w:eastAsia="fr-FR"/>
              </w:rPr>
              <w:t xml:space="preserve">et jeunes </w:t>
            </w:r>
            <w:r w:rsidR="00503B32" w:rsidRPr="00435811">
              <w:rPr>
                <w:rFonts w:eastAsia="Calibri" w:cs="Arial"/>
                <w:lang w:val="fr-FR" w:eastAsia="fr-FR"/>
              </w:rPr>
              <w:t>concernés par la migration est renforcée, ainsi que celle de membres de leurs familles</w:t>
            </w:r>
            <w:r w:rsidRPr="00435811">
              <w:rPr>
                <w:rFonts w:eastAsia="Calibri" w:cs="Arial"/>
                <w:lang w:val="fr-FR" w:eastAsia="fr-FR"/>
              </w:rPr>
              <w:t xml:space="preserve"> </w:t>
            </w:r>
          </w:p>
          <w:p w:rsidR="00435811" w:rsidRPr="00435811" w:rsidRDefault="00435811" w:rsidP="00503B32">
            <w:pPr>
              <w:rPr>
                <w:rFonts w:eastAsia="Calibri" w:cs="Arial"/>
                <w:lang w:val="fr-FR" w:eastAsia="fr-FR"/>
              </w:rPr>
            </w:pPr>
            <w:r>
              <w:rPr>
                <w:rFonts w:eastAsia="Calibri" w:cs="Arial"/>
                <w:lang w:val="fr-FR" w:eastAsia="fr-FR"/>
              </w:rPr>
              <w:t>Target : 16'000 enfants et jeunes</w:t>
            </w:r>
          </w:p>
        </w:tc>
      </w:tr>
      <w:tr w:rsidR="001E20F0" w:rsidRPr="00D8283B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20F0" w:rsidRPr="000617FF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0617F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>Définition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58E" w:rsidRDefault="00C0658E" w:rsidP="00C0658E">
            <w:pPr>
              <w:spacing w:after="0"/>
              <w:rPr>
                <w:lang w:val="fr-FR"/>
              </w:rPr>
            </w:pPr>
            <w:r>
              <w:rPr>
                <w:u w:val="single"/>
              </w:rPr>
              <w:t>Enfants</w:t>
            </w:r>
            <w:r>
              <w:t xml:space="preserve"> : moins de 18 ans.  </w:t>
            </w:r>
            <w:r>
              <w:rPr>
                <w:u w:val="single"/>
              </w:rPr>
              <w:t>Jeunes</w:t>
            </w:r>
            <w:r>
              <w:t xml:space="preserve"> : 18-24 ans</w:t>
            </w:r>
          </w:p>
          <w:p w:rsidR="00C0658E" w:rsidRDefault="00C0658E" w:rsidP="00C0658E">
            <w:pPr>
              <w:spacing w:after="0"/>
              <w:rPr>
                <w:lang w:val="fr-FR"/>
              </w:rPr>
            </w:pPr>
          </w:p>
          <w:p w:rsidR="00C0658E" w:rsidRDefault="00C0658E" w:rsidP="00C0658E">
            <w:pPr>
              <w:spacing w:after="0"/>
            </w:pPr>
            <w:r>
              <w:rPr>
                <w:u w:val="single"/>
              </w:rPr>
              <w:t>Enfants et jeunes concernés par la migration</w:t>
            </w:r>
            <w:r>
              <w:t xml:space="preserve"> : Tout enfant/jeune appartenant à l’une au moins des 4 catégories suivantes :</w:t>
            </w:r>
          </w:p>
          <w:p w:rsidR="00C0658E" w:rsidRDefault="00C0658E" w:rsidP="00C0658E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>Enfants et jeunes en mouvement (engagés dans un processus de migration) ;</w:t>
            </w:r>
          </w:p>
          <w:p w:rsidR="00C0658E" w:rsidRDefault="00C0658E" w:rsidP="00C0658E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>Enfants et jeunes migrants potentiels (vivant dans des environnements fortement marqués par la migration des enfants et jeunes et/ ou des environnements qui poussent à se déplacer pour des raisons économiques, sociales, culturelles, historiques, politiques, etc.) ;</w:t>
            </w:r>
          </w:p>
          <w:p w:rsidR="00C0658E" w:rsidRDefault="00C0658E" w:rsidP="00C0658E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>Enfants et jeunes dont les proches (parents, fratries, tuteurs) sont partis en migration (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  <w:r>
              <w:t xml:space="preserve"> </w:t>
            </w:r>
            <w:proofErr w:type="spellStart"/>
            <w:r>
              <w:t>behind</w:t>
            </w:r>
            <w:proofErr w:type="spellEnd"/>
            <w:r>
              <w:t>) ;</w:t>
            </w:r>
          </w:p>
          <w:p w:rsidR="00C0658E" w:rsidRDefault="00C0658E" w:rsidP="00C0658E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>Enfants et jeunes sortis temporairement ou durablement de la migration (intégrés, réintégrés, de retour).</w:t>
            </w:r>
          </w:p>
          <w:p w:rsidR="00FD1AB8" w:rsidRPr="00435811" w:rsidRDefault="00FD1AB8" w:rsidP="007527E3">
            <w:pPr>
              <w:spacing w:after="0"/>
              <w:rPr>
                <w:rFonts w:eastAsia="MS Mincho" w:cs="Helv"/>
                <w:b/>
                <w:color w:val="000000"/>
                <w:lang w:eastAsia="fr-CH"/>
              </w:rPr>
            </w:pPr>
          </w:p>
          <w:p w:rsidR="001E20F0" w:rsidRPr="00435811" w:rsidRDefault="001E20F0" w:rsidP="007527E3">
            <w:pPr>
              <w:spacing w:after="0"/>
            </w:pPr>
            <w:r w:rsidRPr="00C0658E">
              <w:rPr>
                <w:rFonts w:eastAsia="MS Mincho" w:cs="Helv"/>
                <w:color w:val="000000"/>
                <w:u w:val="single"/>
                <w:lang w:eastAsia="fr-CH"/>
              </w:rPr>
              <w:t>Résilience</w:t>
            </w:r>
            <w:r w:rsidRPr="00435811">
              <w:rPr>
                <w:rFonts w:eastAsia="MS Mincho" w:cs="Helv"/>
                <w:color w:val="000000"/>
                <w:lang w:eastAsia="fr-CH"/>
              </w:rPr>
              <w:t xml:space="preserve">: </w:t>
            </w:r>
            <w:r w:rsidR="000413D0" w:rsidRPr="00435811">
              <w:rPr>
                <w:rFonts w:eastAsia="MS Mincho" w:cs="Helv"/>
                <w:color w:val="000000"/>
                <w:lang w:eastAsia="fr-CH"/>
              </w:rPr>
              <w:t>La capacité des fille</w:t>
            </w:r>
            <w:r w:rsidR="00FD1AB8" w:rsidRPr="00435811">
              <w:rPr>
                <w:rFonts w:eastAsia="MS Mincho" w:cs="Helv"/>
                <w:color w:val="000000"/>
                <w:lang w:eastAsia="fr-CH"/>
              </w:rPr>
              <w:t>s</w:t>
            </w:r>
            <w:r w:rsidR="000413D0" w:rsidRPr="00435811">
              <w:rPr>
                <w:rFonts w:eastAsia="MS Mincho" w:cs="Helv"/>
                <w:color w:val="000000"/>
                <w:lang w:eastAsia="fr-CH"/>
              </w:rPr>
              <w:t>, garçons, familles à anticiper, à faire face, à s’adapter et à transformer leur environnement face aux chocs, à l’</w:t>
            </w:r>
            <w:r w:rsidR="006E422D" w:rsidRPr="00435811">
              <w:rPr>
                <w:rFonts w:eastAsia="MS Mincho" w:cs="Helv"/>
                <w:color w:val="000000"/>
                <w:lang w:eastAsia="fr-CH"/>
              </w:rPr>
              <w:t>adversité</w:t>
            </w:r>
            <w:r w:rsidR="000413D0" w:rsidRPr="00435811">
              <w:rPr>
                <w:rFonts w:eastAsia="MS Mincho" w:cs="Helv"/>
                <w:color w:val="000000"/>
                <w:lang w:eastAsia="fr-CH"/>
              </w:rPr>
              <w:t xml:space="preserve"> et au stress. </w:t>
            </w:r>
          </w:p>
          <w:p w:rsidR="00F514C5" w:rsidRPr="00435811" w:rsidRDefault="00F514C5" w:rsidP="007527E3">
            <w:pPr>
              <w:spacing w:after="0"/>
              <w:rPr>
                <w:b/>
              </w:rPr>
            </w:pPr>
          </w:p>
          <w:p w:rsidR="00FD1AB8" w:rsidRPr="00435811" w:rsidRDefault="00F514C5" w:rsidP="00F514C5">
            <w:pPr>
              <w:spacing w:after="0"/>
              <w:rPr>
                <w:lang w:val="fr-FR"/>
              </w:rPr>
            </w:pPr>
            <w:r w:rsidRPr="00C0658E">
              <w:rPr>
                <w:u w:val="single"/>
                <w:lang w:val="fr-FR"/>
              </w:rPr>
              <w:t>Membre de la f</w:t>
            </w:r>
            <w:r w:rsidR="001E20F0" w:rsidRPr="00C0658E">
              <w:rPr>
                <w:u w:val="single"/>
                <w:lang w:val="fr-FR"/>
              </w:rPr>
              <w:t>amille</w:t>
            </w:r>
            <w:r w:rsidR="001E20F0" w:rsidRPr="00435811">
              <w:rPr>
                <w:lang w:val="fr-FR"/>
              </w:rPr>
              <w:t xml:space="preserve"> : </w:t>
            </w:r>
            <w:r w:rsidRPr="00435811">
              <w:rPr>
                <w:lang w:val="fr-FR"/>
              </w:rPr>
              <w:t>P</w:t>
            </w:r>
            <w:r w:rsidR="001E20F0" w:rsidRPr="00435811">
              <w:rPr>
                <w:lang w:val="fr-FR"/>
              </w:rPr>
              <w:t>ersonne</w:t>
            </w:r>
            <w:r w:rsidRPr="00435811">
              <w:rPr>
                <w:lang w:val="fr-FR"/>
              </w:rPr>
              <w:t xml:space="preserve"> unie</w:t>
            </w:r>
            <w:r w:rsidR="001E20F0" w:rsidRPr="00435811">
              <w:rPr>
                <w:lang w:val="fr-FR"/>
              </w:rPr>
              <w:t xml:space="preserve"> par un lien de parenté qu’il soit légal, biologique ou traditionnel </w:t>
            </w:r>
            <w:r w:rsidRPr="00435811">
              <w:rPr>
                <w:lang w:val="fr-FR"/>
              </w:rPr>
              <w:t>avec un enfant</w:t>
            </w:r>
            <w:r w:rsidR="00FD1AB8" w:rsidRPr="00435811">
              <w:rPr>
                <w:lang w:val="fr-FR"/>
              </w:rPr>
              <w:t xml:space="preserve"> ou un jeune</w:t>
            </w:r>
            <w:r w:rsidRPr="00435811">
              <w:rPr>
                <w:lang w:val="fr-FR"/>
              </w:rPr>
              <w:t xml:space="preserve"> concerné par la migration.</w:t>
            </w:r>
          </w:p>
        </w:tc>
      </w:tr>
      <w:tr w:rsidR="001E20F0" w:rsidRPr="00D8283B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20F0" w:rsidRPr="00203871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</w:pPr>
            <w:proofErr w:type="spellStart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Ce</w:t>
            </w:r>
            <w:proofErr w:type="spellEnd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qu’il</w:t>
            </w:r>
            <w:proofErr w:type="spellEnd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mesure</w:t>
            </w:r>
            <w:proofErr w:type="spellEnd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0F0" w:rsidRPr="00435811" w:rsidRDefault="001E20F0" w:rsidP="00F514C5">
            <w:p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 xml:space="preserve">Cet indicateur vise à mesurer l’impact de l’intervention de </w:t>
            </w:r>
            <w:proofErr w:type="spellStart"/>
            <w:r w:rsidRPr="00435811">
              <w:rPr>
                <w:lang w:val="fr-FR"/>
              </w:rPr>
              <w:t>Tdh</w:t>
            </w:r>
            <w:proofErr w:type="spellEnd"/>
            <w:r w:rsidRPr="00435811">
              <w:rPr>
                <w:lang w:val="fr-FR"/>
              </w:rPr>
              <w:t xml:space="preserve"> sur la </w:t>
            </w:r>
            <w:r w:rsidRPr="00435811">
              <w:rPr>
                <w:lang w:val="fr-FR"/>
              </w:rPr>
              <w:lastRenderedPageBreak/>
              <w:t>capacité d</w:t>
            </w:r>
            <w:r w:rsidR="00F514C5" w:rsidRPr="00435811">
              <w:rPr>
                <w:lang w:val="fr-FR"/>
              </w:rPr>
              <w:t>’un enfant</w:t>
            </w:r>
            <w:r w:rsidRPr="00435811">
              <w:rPr>
                <w:lang w:val="fr-FR"/>
              </w:rPr>
              <w:t xml:space="preserve"> </w:t>
            </w:r>
            <w:r w:rsidR="00FD1AB8" w:rsidRPr="00435811">
              <w:rPr>
                <w:lang w:val="fr-FR"/>
              </w:rPr>
              <w:t xml:space="preserve">ou d’un jeune </w:t>
            </w:r>
            <w:r w:rsidRPr="00435811">
              <w:rPr>
                <w:lang w:val="fr-FR"/>
              </w:rPr>
              <w:t>(et de</w:t>
            </w:r>
            <w:r w:rsidR="00F514C5" w:rsidRPr="00435811">
              <w:rPr>
                <w:lang w:val="fr-FR"/>
              </w:rPr>
              <w:t>s membres de</w:t>
            </w:r>
            <w:r w:rsidRPr="00435811">
              <w:rPr>
                <w:lang w:val="fr-FR"/>
              </w:rPr>
              <w:t xml:space="preserve"> </w:t>
            </w:r>
            <w:r w:rsidR="00F514C5" w:rsidRPr="00435811">
              <w:rPr>
                <w:lang w:val="fr-FR"/>
              </w:rPr>
              <w:t>sa</w:t>
            </w:r>
            <w:r w:rsidRPr="00435811">
              <w:rPr>
                <w:lang w:val="fr-FR"/>
              </w:rPr>
              <w:t xml:space="preserve"> famille) </w:t>
            </w:r>
            <w:r w:rsidR="00F514C5" w:rsidRPr="00435811">
              <w:rPr>
                <w:lang w:val="fr-FR"/>
              </w:rPr>
              <w:t>concerné</w:t>
            </w:r>
            <w:r w:rsidR="00503B32" w:rsidRPr="00435811">
              <w:rPr>
                <w:lang w:val="fr-FR"/>
              </w:rPr>
              <w:t xml:space="preserve"> par</w:t>
            </w:r>
            <w:r w:rsidRPr="00435811">
              <w:rPr>
                <w:lang w:val="fr-FR"/>
              </w:rPr>
              <w:t xml:space="preserve"> la migration à</w:t>
            </w:r>
            <w:r w:rsidRPr="00435811">
              <w:rPr>
                <w:rFonts w:eastAsia="MS Mincho" w:cs="Helv"/>
                <w:color w:val="000000"/>
                <w:lang w:eastAsia="fr-CH"/>
              </w:rPr>
              <w:t xml:space="preserve"> faire face aux épreuves liées à </w:t>
            </w:r>
            <w:r w:rsidR="00F514C5" w:rsidRPr="00435811">
              <w:rPr>
                <w:rFonts w:eastAsia="MS Mincho" w:cs="Helv"/>
                <w:color w:val="000000"/>
                <w:lang w:eastAsia="fr-CH"/>
              </w:rPr>
              <w:t>son</w:t>
            </w:r>
            <w:r w:rsidRPr="00435811">
              <w:rPr>
                <w:rFonts w:eastAsia="MS Mincho" w:cs="Helv"/>
                <w:color w:val="000000"/>
                <w:lang w:eastAsia="fr-CH"/>
              </w:rPr>
              <w:t xml:space="preserve"> environnement et à les surmonter</w:t>
            </w:r>
            <w:r w:rsidR="003513FB" w:rsidRPr="00435811">
              <w:rPr>
                <w:rFonts w:eastAsia="MS Mincho" w:cs="Helv"/>
                <w:color w:val="000000"/>
                <w:lang w:eastAsia="fr-CH"/>
              </w:rPr>
              <w:t>.</w:t>
            </w:r>
          </w:p>
        </w:tc>
      </w:tr>
      <w:tr w:rsidR="001E20F0" w:rsidRPr="00D8283B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20F0" w:rsidRPr="000617FF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0617F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lastRenderedPageBreak/>
              <w:t xml:space="preserve">Unité et désagrégation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0F0" w:rsidRPr="00435811" w:rsidRDefault="001E20F0" w:rsidP="007527E3">
            <w:pPr>
              <w:spacing w:after="0"/>
              <w:rPr>
                <w:lang w:val="fr-FR"/>
              </w:rPr>
            </w:pPr>
            <w:r w:rsidRPr="00435811">
              <w:rPr>
                <w:b/>
                <w:lang w:val="fr-FR"/>
              </w:rPr>
              <w:t>Unité</w:t>
            </w:r>
            <w:r w:rsidRPr="00435811">
              <w:rPr>
                <w:lang w:val="fr-FR"/>
              </w:rPr>
              <w:t xml:space="preserve"> : individu </w:t>
            </w:r>
          </w:p>
          <w:p w:rsidR="001E20F0" w:rsidRPr="00435811" w:rsidRDefault="001E20F0" w:rsidP="007527E3">
            <w:pPr>
              <w:spacing w:after="0"/>
              <w:rPr>
                <w:lang w:val="fr-FR"/>
              </w:rPr>
            </w:pPr>
            <w:r w:rsidRPr="00435811">
              <w:rPr>
                <w:b/>
                <w:lang w:val="fr-FR"/>
              </w:rPr>
              <w:t>D</w:t>
            </w:r>
            <w:r w:rsidR="009505AF" w:rsidRPr="00435811">
              <w:rPr>
                <w:b/>
                <w:lang w:val="fr-FR"/>
              </w:rPr>
              <w:t>ésagr</w:t>
            </w:r>
            <w:r w:rsidRPr="00435811">
              <w:rPr>
                <w:b/>
                <w:lang w:val="fr-FR"/>
              </w:rPr>
              <w:t>égation</w:t>
            </w:r>
            <w:r w:rsidRPr="00435811">
              <w:rPr>
                <w:lang w:val="fr-FR"/>
              </w:rPr>
              <w:t xml:space="preserve"> </w:t>
            </w:r>
          </w:p>
          <w:p w:rsidR="001E20F0" w:rsidRPr="00435811" w:rsidRDefault="001E20F0" w:rsidP="001E20F0">
            <w:pPr>
              <w:pStyle w:val="Paragraphedeliste"/>
              <w:numPr>
                <w:ilvl w:val="0"/>
                <w:numId w:val="1"/>
              </w:num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>Groupe d’âge  (</w:t>
            </w:r>
            <w:r w:rsidR="00FD1AB8" w:rsidRPr="00435811">
              <w:rPr>
                <w:lang w:val="fr-FR"/>
              </w:rPr>
              <w:t>Enfants : 0-1</w:t>
            </w:r>
            <w:r w:rsidR="00435811" w:rsidRPr="00435811">
              <w:rPr>
                <w:lang w:val="fr-FR"/>
              </w:rPr>
              <w:t>5 ; 16-17</w:t>
            </w:r>
            <w:r w:rsidR="00FD1AB8" w:rsidRPr="00435811">
              <w:rPr>
                <w:lang w:val="fr-FR"/>
              </w:rPr>
              <w:t> ; Jeunes : 1</w:t>
            </w:r>
            <w:r w:rsidR="00435811" w:rsidRPr="00435811">
              <w:rPr>
                <w:lang w:val="fr-FR"/>
              </w:rPr>
              <w:t>8</w:t>
            </w:r>
            <w:r w:rsidR="00FD1AB8" w:rsidRPr="00435811">
              <w:rPr>
                <w:lang w:val="fr-FR"/>
              </w:rPr>
              <w:t>-24</w:t>
            </w:r>
            <w:r w:rsidRPr="00435811">
              <w:rPr>
                <w:lang w:val="fr-FR"/>
              </w:rPr>
              <w:t>)</w:t>
            </w:r>
          </w:p>
          <w:p w:rsidR="001E20F0" w:rsidRPr="00435811" w:rsidRDefault="001E20F0" w:rsidP="001E20F0">
            <w:pPr>
              <w:pStyle w:val="Paragraphedeliste"/>
              <w:numPr>
                <w:ilvl w:val="0"/>
                <w:numId w:val="1"/>
              </w:num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>Sexe</w:t>
            </w:r>
          </w:p>
          <w:p w:rsidR="001E20F0" w:rsidRPr="00435811" w:rsidRDefault="000413D0" w:rsidP="00466F51">
            <w:pPr>
              <w:pStyle w:val="Paragraphedeliste"/>
              <w:numPr>
                <w:ilvl w:val="0"/>
                <w:numId w:val="1"/>
              </w:num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>Catégorie</w:t>
            </w:r>
            <w:r w:rsidR="00F514C5" w:rsidRPr="00435811">
              <w:rPr>
                <w:lang w:val="fr-FR"/>
              </w:rPr>
              <w:t xml:space="preserve"> </w:t>
            </w:r>
            <w:r w:rsidRPr="00435811">
              <w:rPr>
                <w:lang w:val="fr-FR"/>
              </w:rPr>
              <w:t>d’enfa</w:t>
            </w:r>
            <w:r w:rsidR="00466F51">
              <w:rPr>
                <w:lang w:val="fr-FR"/>
              </w:rPr>
              <w:t>nts concernés par la migration</w:t>
            </w:r>
          </w:p>
        </w:tc>
      </w:tr>
      <w:tr w:rsidR="001E20F0" w:rsidRPr="00D8283B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20F0" w:rsidRPr="007D5491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en-US" w:eastAsia="fr-FR"/>
              </w:rPr>
            </w:pPr>
            <w:r w:rsidRPr="007D549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Mode de </w:t>
            </w:r>
            <w:proofErr w:type="spellStart"/>
            <w:r w:rsidRPr="007D549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calcul</w:t>
            </w:r>
            <w:proofErr w:type="spellEnd"/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0F0" w:rsidRPr="00435811" w:rsidRDefault="00B73478" w:rsidP="007527E3">
            <w:pPr>
              <w:pStyle w:val="Notedebasdepage"/>
              <w:rPr>
                <w:sz w:val="22"/>
                <w:szCs w:val="22"/>
              </w:rPr>
            </w:pPr>
            <w:r w:rsidRPr="00435811">
              <w:rPr>
                <w:rFonts w:eastAsia="MS Mincho" w:cs="Helv"/>
                <w:color w:val="000000"/>
                <w:sz w:val="22"/>
                <w:szCs w:val="22"/>
              </w:rPr>
              <w:t xml:space="preserve">Simple addition d’individus dont la résilience a été renforcée. </w:t>
            </w:r>
          </w:p>
        </w:tc>
      </w:tr>
      <w:tr w:rsidR="001E20F0" w:rsidRPr="00D8283B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20F0" w:rsidRPr="00203871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</w:pPr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Baseline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0F0" w:rsidRPr="00435811" w:rsidRDefault="001E20F0" w:rsidP="009505AF">
            <w:p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 xml:space="preserve">Baseline doit être conduite </w:t>
            </w:r>
            <w:r w:rsidR="00B73478" w:rsidRPr="00435811">
              <w:rPr>
                <w:lang w:val="fr-FR"/>
              </w:rPr>
              <w:t xml:space="preserve">en </w:t>
            </w:r>
            <w:r w:rsidR="009505AF" w:rsidRPr="00435811">
              <w:rPr>
                <w:lang w:val="fr-FR"/>
              </w:rPr>
              <w:t>Avril 2018</w:t>
            </w:r>
            <w:r w:rsidRPr="00435811">
              <w:rPr>
                <w:lang w:val="fr-FR"/>
              </w:rPr>
              <w:t xml:space="preserve"> auprès de groupe</w:t>
            </w:r>
            <w:r w:rsidR="00B73478" w:rsidRPr="00435811">
              <w:rPr>
                <w:lang w:val="fr-FR"/>
              </w:rPr>
              <w:t>s</w:t>
            </w:r>
            <w:r w:rsidRPr="00435811">
              <w:rPr>
                <w:lang w:val="fr-FR"/>
              </w:rPr>
              <w:t xml:space="preserve"> cible</w:t>
            </w:r>
            <w:r w:rsidR="00B73478" w:rsidRPr="00435811">
              <w:rPr>
                <w:lang w:val="fr-FR"/>
              </w:rPr>
              <w:t>s</w:t>
            </w:r>
            <w:r w:rsidRPr="00435811">
              <w:rPr>
                <w:lang w:val="fr-FR"/>
              </w:rPr>
              <w:t xml:space="preserve"> et d</w:t>
            </w:r>
            <w:r w:rsidR="00B73478" w:rsidRPr="00435811">
              <w:rPr>
                <w:lang w:val="fr-FR"/>
              </w:rPr>
              <w:t>e</w:t>
            </w:r>
            <w:r w:rsidRPr="00435811">
              <w:rPr>
                <w:lang w:val="fr-FR"/>
              </w:rPr>
              <w:t xml:space="preserve"> groupe</w:t>
            </w:r>
            <w:r w:rsidR="00B73478" w:rsidRPr="00435811">
              <w:rPr>
                <w:lang w:val="fr-FR"/>
              </w:rPr>
              <w:t>s</w:t>
            </w:r>
            <w:r w:rsidRPr="00435811">
              <w:rPr>
                <w:lang w:val="fr-FR"/>
              </w:rPr>
              <w:t xml:space="preserve"> témoin.</w:t>
            </w:r>
          </w:p>
        </w:tc>
      </w:tr>
      <w:tr w:rsidR="001E20F0" w:rsidRPr="00D8283B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20F0" w:rsidRPr="000764A9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0764A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 xml:space="preserve">Sources et méthodes de collecte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3478" w:rsidRPr="00435811" w:rsidRDefault="00EA4BA2" w:rsidP="00B734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Helv"/>
                <w:color w:val="000000"/>
                <w:lang w:eastAsia="fr-CH"/>
              </w:rPr>
            </w:pPr>
            <w:r w:rsidRPr="00435811">
              <w:rPr>
                <w:rFonts w:eastAsia="MS Mincho" w:cs="Helv"/>
                <w:color w:val="000000"/>
                <w:lang w:eastAsia="fr-CH"/>
              </w:rPr>
              <w:t xml:space="preserve">Méthode : </w:t>
            </w:r>
            <w:r w:rsidR="00B73478" w:rsidRPr="00435811">
              <w:rPr>
                <w:rFonts w:eastAsia="MS Mincho" w:cs="Helv"/>
                <w:color w:val="000000"/>
                <w:lang w:eastAsia="fr-CH"/>
              </w:rPr>
              <w:t xml:space="preserve">La résilience sera  mesurée à partir d'un ensemble circonscrit de groupes cibles identifiés à partir des communautés d'origine (sédentaires et migrants). Une combinaison de deux méthodes sera utilisée: </w:t>
            </w:r>
            <w:r w:rsidR="00435811">
              <w:rPr>
                <w:rFonts w:eastAsia="MS Mincho" w:cs="Helv"/>
                <w:color w:val="000000"/>
                <w:lang w:eastAsia="fr-CH"/>
              </w:rPr>
              <w:t>--</w:t>
            </w:r>
          </w:p>
          <w:p w:rsidR="00B73478" w:rsidRPr="00435811" w:rsidRDefault="00B73478" w:rsidP="00B734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Helv"/>
                <w:color w:val="000000"/>
                <w:lang w:eastAsia="fr-CH"/>
              </w:rPr>
            </w:pPr>
            <w:r w:rsidRPr="00435811">
              <w:rPr>
                <w:rFonts w:eastAsia="MS Mincho" w:cs="Helv"/>
                <w:color w:val="000000"/>
                <w:lang w:eastAsia="fr-CH"/>
              </w:rPr>
              <w:tab/>
              <w:t>- Une méthode basée sur l'identification objective de compétences clés liées à  l'inclusion et à la protec</w:t>
            </w:r>
            <w:r w:rsidR="00AB1A4D" w:rsidRPr="00435811">
              <w:rPr>
                <w:rFonts w:eastAsia="MS Mincho" w:cs="Helv"/>
                <w:color w:val="000000"/>
                <w:lang w:eastAsia="fr-CH"/>
              </w:rPr>
              <w:t>tion. Une  étude de base en 2018</w:t>
            </w:r>
            <w:r w:rsidRPr="00435811">
              <w:rPr>
                <w:rFonts w:eastAsia="MS Mincho" w:cs="Helv"/>
                <w:color w:val="000000"/>
                <w:lang w:eastAsia="fr-CH"/>
              </w:rPr>
              <w:t xml:space="preserve"> permettra d'identifier l'état de la résilience dans des communautés cibles et dans des communautés témoins.  </w:t>
            </w:r>
          </w:p>
          <w:p w:rsidR="00EA4BA2" w:rsidRPr="00435811" w:rsidRDefault="00B73478" w:rsidP="00B73478">
            <w:pPr>
              <w:spacing w:after="0"/>
              <w:rPr>
                <w:rFonts w:eastAsia="MS Mincho" w:cs="Helv"/>
                <w:color w:val="000000"/>
              </w:rPr>
            </w:pPr>
            <w:r w:rsidRPr="00435811">
              <w:rPr>
                <w:rFonts w:eastAsia="MS Mincho" w:cs="Helv"/>
                <w:color w:val="000000"/>
              </w:rPr>
              <w:tab/>
              <w:t>- Une démarche expérimentale, participative et anthropologique permettra d'identifier avec les communautés concernées des profils de résilience ainsi que les facteurs spécifiques qui les génèrent.</w:t>
            </w:r>
          </w:p>
          <w:p w:rsidR="001E20F0" w:rsidRPr="00435811" w:rsidRDefault="00EA4BA2" w:rsidP="006E422D">
            <w:pPr>
              <w:spacing w:after="0"/>
              <w:rPr>
                <w:i/>
                <w:highlight w:val="yellow"/>
                <w:lang w:val="fr-FR"/>
              </w:rPr>
            </w:pPr>
            <w:r w:rsidRPr="00435811">
              <w:rPr>
                <w:rFonts w:eastAsia="MS Mincho" w:cs="Helv"/>
                <w:color w:val="000000"/>
              </w:rPr>
              <w:t>Source</w:t>
            </w:r>
            <w:r w:rsidR="006E422D" w:rsidRPr="00435811">
              <w:rPr>
                <w:rFonts w:eastAsia="MS Mincho" w:cs="Helv"/>
                <w:color w:val="000000"/>
              </w:rPr>
              <w:t>s</w:t>
            </w:r>
            <w:r w:rsidRPr="00435811">
              <w:rPr>
                <w:rFonts w:eastAsia="MS Mincho" w:cs="Helv"/>
                <w:color w:val="000000"/>
              </w:rPr>
              <w:t xml:space="preserve"> : </w:t>
            </w:r>
            <w:r w:rsidR="006E422D" w:rsidRPr="00435811">
              <w:rPr>
                <w:rFonts w:eastAsia="MS Mincho" w:cs="Helv"/>
                <w:color w:val="000000"/>
              </w:rPr>
              <w:t>les enfants et le</w:t>
            </w:r>
            <w:r w:rsidR="00570DCB" w:rsidRPr="00435811">
              <w:rPr>
                <w:rFonts w:eastAsia="MS Mincho" w:cs="Helv"/>
                <w:color w:val="000000"/>
              </w:rPr>
              <w:t>s membres des familles.</w:t>
            </w:r>
            <w:r w:rsidR="006E422D" w:rsidRPr="00435811">
              <w:rPr>
                <w:rFonts w:eastAsia="MS Mincho" w:cs="Helv"/>
                <w:color w:val="000000"/>
              </w:rPr>
              <w:t xml:space="preserve"> D’autres sources seront  définies dans le protocole de recherche.</w:t>
            </w:r>
          </w:p>
        </w:tc>
      </w:tr>
      <w:tr w:rsidR="001E20F0" w:rsidRPr="00D8283B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20F0" w:rsidRPr="00203871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</w:pPr>
            <w:proofErr w:type="spellStart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Outils</w:t>
            </w:r>
            <w:proofErr w:type="spellEnd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 de </w:t>
            </w:r>
            <w:proofErr w:type="spellStart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collecte</w:t>
            </w:r>
            <w:proofErr w:type="spellEnd"/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0F0" w:rsidRPr="00435811" w:rsidRDefault="001E20F0" w:rsidP="007527E3">
            <w:pPr>
              <w:spacing w:after="0"/>
              <w:rPr>
                <w:highlight w:val="yellow"/>
                <w:lang w:val="fr-FR"/>
              </w:rPr>
            </w:pPr>
            <w:r w:rsidRPr="00435811">
              <w:rPr>
                <w:lang w:val="fr-FR"/>
              </w:rPr>
              <w:t xml:space="preserve">Les outils de collecte devront être développés après le recrutement de l’équipe de consultants en charge du développement méthodologique de l’étude de </w:t>
            </w:r>
            <w:proofErr w:type="spellStart"/>
            <w:r w:rsidRPr="00435811">
              <w:rPr>
                <w:lang w:val="fr-FR"/>
              </w:rPr>
              <w:t>baseline</w:t>
            </w:r>
            <w:proofErr w:type="spellEnd"/>
            <w:r w:rsidRPr="00435811">
              <w:rPr>
                <w:lang w:val="fr-FR"/>
              </w:rPr>
              <w:t xml:space="preserve"> et des étapes de suivi.   </w:t>
            </w:r>
          </w:p>
        </w:tc>
      </w:tr>
      <w:tr w:rsidR="001E20F0" w:rsidRPr="00D8283B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20F0" w:rsidRPr="000764A9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0F0" w:rsidRPr="00435811" w:rsidRDefault="001E20F0" w:rsidP="007527E3">
            <w:pPr>
              <w:spacing w:after="0"/>
              <w:rPr>
                <w:i/>
                <w:lang w:val="fr-FR"/>
              </w:rPr>
            </w:pPr>
          </w:p>
        </w:tc>
      </w:tr>
      <w:tr w:rsidR="001E20F0" w:rsidRPr="00D8283B" w:rsidTr="007527E3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20F0" w:rsidRPr="007D5491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7D549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>Temporalité</w:t>
            </w:r>
          </w:p>
        </w:tc>
        <w:tc>
          <w:tcPr>
            <w:tcW w:w="6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0F0" w:rsidRPr="00435811" w:rsidRDefault="001E20F0" w:rsidP="007527E3">
            <w:p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>Cet indicateur est mesuré en trois phases :</w:t>
            </w:r>
          </w:p>
          <w:p w:rsidR="001E20F0" w:rsidRPr="00435811" w:rsidRDefault="001E20F0" w:rsidP="001E20F0">
            <w:pPr>
              <w:pStyle w:val="Paragraphedeliste"/>
              <w:numPr>
                <w:ilvl w:val="0"/>
                <w:numId w:val="2"/>
              </w:numPr>
              <w:spacing w:after="0"/>
              <w:rPr>
                <w:i/>
                <w:lang w:val="fr-FR"/>
              </w:rPr>
            </w:pPr>
            <w:r w:rsidRPr="00435811">
              <w:rPr>
                <w:rFonts w:eastAsia="MS Mincho" w:cs="Helv"/>
                <w:color w:val="000000"/>
                <w:lang w:eastAsia="fr-CH"/>
              </w:rPr>
              <w:t>Baseline</w:t>
            </w:r>
            <w:r w:rsidR="00EA4BA2" w:rsidRPr="00435811">
              <w:rPr>
                <w:rFonts w:eastAsia="MS Mincho" w:cs="Helv"/>
                <w:color w:val="000000"/>
                <w:lang w:eastAsia="fr-CH"/>
              </w:rPr>
              <w:t xml:space="preserve"> (</w:t>
            </w:r>
            <w:r w:rsidR="009505AF" w:rsidRPr="00435811">
              <w:rPr>
                <w:rFonts w:eastAsia="MS Mincho" w:cs="Helv"/>
                <w:color w:val="000000"/>
                <w:lang w:eastAsia="fr-CH"/>
              </w:rPr>
              <w:t>Avril 2018</w:t>
            </w:r>
            <w:r w:rsidR="00EA4BA2" w:rsidRPr="00435811">
              <w:rPr>
                <w:rFonts w:eastAsia="MS Mincho" w:cs="Helv"/>
                <w:color w:val="000000"/>
                <w:lang w:eastAsia="fr-CH"/>
              </w:rPr>
              <w:t>)</w:t>
            </w:r>
          </w:p>
          <w:p w:rsidR="001E20F0" w:rsidRPr="00435811" w:rsidRDefault="001E20F0" w:rsidP="001E20F0">
            <w:pPr>
              <w:pStyle w:val="Paragraphedeliste"/>
              <w:numPr>
                <w:ilvl w:val="0"/>
                <w:numId w:val="2"/>
              </w:numPr>
              <w:spacing w:after="0"/>
              <w:rPr>
                <w:i/>
                <w:lang w:val="fr-FR"/>
              </w:rPr>
            </w:pPr>
            <w:r w:rsidRPr="00435811">
              <w:rPr>
                <w:rFonts w:eastAsia="MS Mincho" w:cs="Helv"/>
                <w:color w:val="000000"/>
                <w:lang w:val="fr-FR" w:eastAsia="fr-CH"/>
              </w:rPr>
              <w:t>En fin de cycle</w:t>
            </w:r>
            <w:r w:rsidR="00EA4BA2" w:rsidRPr="00435811">
              <w:rPr>
                <w:rFonts w:eastAsia="MS Mincho" w:cs="Helv"/>
                <w:color w:val="000000"/>
                <w:lang w:val="fr-FR" w:eastAsia="fr-CH"/>
              </w:rPr>
              <w:t xml:space="preserve"> (2020)</w:t>
            </w:r>
          </w:p>
        </w:tc>
      </w:tr>
      <w:tr w:rsidR="001E20F0" w:rsidRPr="00D8283B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20F0" w:rsidRPr="00203871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</w:pPr>
            <w:proofErr w:type="spellStart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Rôles</w:t>
            </w:r>
            <w:proofErr w:type="spellEnd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 et </w:t>
            </w:r>
            <w:proofErr w:type="spellStart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responsabilités</w:t>
            </w:r>
            <w:proofErr w:type="spellEnd"/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0F0" w:rsidRPr="00435811" w:rsidRDefault="001E20F0" w:rsidP="007527E3">
            <w:pPr>
              <w:spacing w:after="0"/>
              <w:rPr>
                <w:lang w:val="fr-FR"/>
              </w:rPr>
            </w:pPr>
            <w:r w:rsidRPr="00435811">
              <w:rPr>
                <w:b/>
                <w:lang w:val="fr-FR"/>
              </w:rPr>
              <w:t>Responsable</w:t>
            </w:r>
            <w:r w:rsidR="006E422D" w:rsidRPr="00435811">
              <w:rPr>
                <w:b/>
                <w:lang w:val="fr-FR"/>
              </w:rPr>
              <w:t xml:space="preserve"> (supervision, coordination et validation)</w:t>
            </w:r>
            <w:r w:rsidRPr="00435811">
              <w:rPr>
                <w:lang w:val="fr-FR"/>
              </w:rPr>
              <w:t xml:space="preserve"> : </w:t>
            </w:r>
            <w:r w:rsidR="00203EE5" w:rsidRPr="00435811">
              <w:rPr>
                <w:lang w:val="fr-FR"/>
              </w:rPr>
              <w:t>Coord</w:t>
            </w:r>
            <w:r w:rsidR="00435811">
              <w:rPr>
                <w:lang w:val="fr-FR"/>
              </w:rPr>
              <w:t>in</w:t>
            </w:r>
            <w:r w:rsidR="00203EE5" w:rsidRPr="00435811">
              <w:rPr>
                <w:lang w:val="fr-FR"/>
              </w:rPr>
              <w:t>ateur</w:t>
            </w:r>
            <w:r w:rsidRPr="00435811">
              <w:rPr>
                <w:lang w:val="fr-FR"/>
              </w:rPr>
              <w:t xml:space="preserve"> Régional </w:t>
            </w:r>
            <w:r w:rsidR="00EA4BA2" w:rsidRPr="00435811">
              <w:rPr>
                <w:lang w:val="fr-FR"/>
              </w:rPr>
              <w:t>P</w:t>
            </w:r>
            <w:r w:rsidRPr="00435811">
              <w:rPr>
                <w:lang w:val="fr-FR"/>
              </w:rPr>
              <w:t xml:space="preserve">rogramme </w:t>
            </w:r>
            <w:r w:rsidR="00EA4BA2" w:rsidRPr="00435811">
              <w:rPr>
                <w:lang w:val="fr-FR"/>
              </w:rPr>
              <w:t>M</w:t>
            </w:r>
            <w:r w:rsidRPr="00435811">
              <w:rPr>
                <w:lang w:val="fr-FR"/>
              </w:rPr>
              <w:t>igration</w:t>
            </w:r>
          </w:p>
          <w:p w:rsidR="001E20F0" w:rsidRPr="00435811" w:rsidRDefault="001E20F0" w:rsidP="007527E3">
            <w:pPr>
              <w:spacing w:after="0"/>
              <w:rPr>
                <w:lang w:val="fr-FR"/>
              </w:rPr>
            </w:pPr>
            <w:r w:rsidRPr="00435811">
              <w:rPr>
                <w:b/>
                <w:lang w:val="fr-FR"/>
              </w:rPr>
              <w:t>Responsable de collecte de données</w:t>
            </w:r>
            <w:r w:rsidRPr="00435811">
              <w:rPr>
                <w:lang w:val="fr-FR"/>
              </w:rPr>
              <w:t> :</w:t>
            </w:r>
            <w:r w:rsidR="00435811">
              <w:rPr>
                <w:lang w:val="fr-FR"/>
              </w:rPr>
              <w:t xml:space="preserve"> </w:t>
            </w:r>
            <w:r w:rsidRPr="00435811">
              <w:rPr>
                <w:lang w:val="fr-FR"/>
              </w:rPr>
              <w:t>Délégués</w:t>
            </w:r>
            <w:r w:rsidR="00EA4BA2" w:rsidRPr="00435811">
              <w:rPr>
                <w:lang w:val="fr-FR"/>
              </w:rPr>
              <w:t xml:space="preserve">, </w:t>
            </w:r>
            <w:r w:rsidR="00435811">
              <w:rPr>
                <w:lang w:val="fr-FR"/>
              </w:rPr>
              <w:t xml:space="preserve">responsables </w:t>
            </w:r>
            <w:r w:rsidRPr="00435811">
              <w:rPr>
                <w:lang w:val="fr-FR"/>
              </w:rPr>
              <w:t>de projets</w:t>
            </w:r>
            <w:r w:rsidR="00EA4BA2" w:rsidRPr="00435811">
              <w:rPr>
                <w:lang w:val="fr-FR"/>
              </w:rPr>
              <w:t xml:space="preserve"> et responsables M&amp;E (lorsque la fonction est pourvue)</w:t>
            </w:r>
          </w:p>
          <w:p w:rsidR="001E20F0" w:rsidRPr="00435811" w:rsidRDefault="001E20F0" w:rsidP="007527E3">
            <w:pPr>
              <w:spacing w:after="0"/>
              <w:rPr>
                <w:lang w:val="fr-FR"/>
              </w:rPr>
            </w:pPr>
            <w:r w:rsidRPr="00435811">
              <w:rPr>
                <w:b/>
                <w:lang w:val="fr-FR"/>
              </w:rPr>
              <w:t xml:space="preserve">Supervision méthodologique, traitement et nettoyage des données, analyse et </w:t>
            </w:r>
            <w:proofErr w:type="spellStart"/>
            <w:r w:rsidRPr="00435811">
              <w:rPr>
                <w:b/>
                <w:lang w:val="fr-FR"/>
              </w:rPr>
              <w:t>reporting</w:t>
            </w:r>
            <w:proofErr w:type="spellEnd"/>
            <w:r w:rsidRPr="00435811">
              <w:rPr>
                <w:lang w:val="fr-FR"/>
              </w:rPr>
              <w:t> : Consultants externes</w:t>
            </w:r>
          </w:p>
        </w:tc>
      </w:tr>
      <w:tr w:rsidR="001E20F0" w:rsidRPr="00D8283B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20F0" w:rsidRPr="000764A9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0764A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>Enjeux liés à la qualité préconisé</w:t>
            </w:r>
            <w:r w:rsidR="00EA4BA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>e</w:t>
            </w:r>
          </w:p>
          <w:p w:rsidR="001E20F0" w:rsidRPr="000764A9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0F0" w:rsidRPr="00435811" w:rsidRDefault="001E20F0" w:rsidP="007527E3">
            <w:p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>Mesurer cet indicateur pose plusieurs problèmes :</w:t>
            </w:r>
          </w:p>
          <w:p w:rsidR="001E20F0" w:rsidRPr="00435811" w:rsidRDefault="001E20F0" w:rsidP="001E20F0">
            <w:pPr>
              <w:pStyle w:val="Paragraphedeliste"/>
              <w:numPr>
                <w:ilvl w:val="0"/>
                <w:numId w:val="4"/>
              </w:num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 xml:space="preserve">La diversité des programmes et interventions de </w:t>
            </w:r>
            <w:proofErr w:type="spellStart"/>
            <w:r w:rsidRPr="00435811">
              <w:rPr>
                <w:lang w:val="fr-FR"/>
              </w:rPr>
              <w:t>Tdh</w:t>
            </w:r>
            <w:proofErr w:type="spellEnd"/>
            <w:r w:rsidRPr="00435811">
              <w:rPr>
                <w:lang w:val="fr-FR"/>
              </w:rPr>
              <w:t xml:space="preserve"> contribuant à la protection des enfants </w:t>
            </w:r>
            <w:r w:rsidR="00EA4BA2" w:rsidRPr="00435811">
              <w:rPr>
                <w:lang w:val="fr-FR"/>
              </w:rPr>
              <w:t>concernés par</w:t>
            </w:r>
            <w:r w:rsidRPr="00435811">
              <w:rPr>
                <w:lang w:val="fr-FR"/>
              </w:rPr>
              <w:t xml:space="preserve"> la migration nécessite l’implication de toutes les délégations mais aussi du DAH et un plan de collaboration clair devra être mise en œuvre et accepté par tous</w:t>
            </w:r>
          </w:p>
          <w:p w:rsidR="001E20F0" w:rsidRPr="00435811" w:rsidRDefault="001E20F0" w:rsidP="009505AF">
            <w:pPr>
              <w:pStyle w:val="Paragraphedeliste"/>
              <w:numPr>
                <w:ilvl w:val="0"/>
                <w:numId w:val="4"/>
              </w:num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>L’externalisation d’une partie des tâches méthodologiques</w:t>
            </w:r>
          </w:p>
        </w:tc>
      </w:tr>
      <w:tr w:rsidR="001E20F0" w:rsidRPr="00783F38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20F0" w:rsidRPr="00203871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Plan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d’analyse</w:t>
            </w:r>
            <w:proofErr w:type="spellEnd"/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0F0" w:rsidRPr="00435811" w:rsidRDefault="001E20F0" w:rsidP="007527E3">
            <w:p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 xml:space="preserve">A développer de concert avec l’équipe de consultants </w:t>
            </w:r>
            <w:r w:rsidR="00AB1A4D" w:rsidRPr="00435811">
              <w:rPr>
                <w:lang w:val="fr-FR"/>
              </w:rPr>
              <w:t>dans le protocole méthodo</w:t>
            </w:r>
            <w:r w:rsidR="006E422D" w:rsidRPr="00435811">
              <w:rPr>
                <w:lang w:val="fr-FR"/>
              </w:rPr>
              <w:t>logique de la recherche</w:t>
            </w:r>
            <w:r w:rsidR="00AB1A4D" w:rsidRPr="00435811">
              <w:rPr>
                <w:lang w:val="fr-FR"/>
              </w:rPr>
              <w:t>.</w:t>
            </w:r>
          </w:p>
        </w:tc>
      </w:tr>
      <w:tr w:rsidR="001E20F0" w:rsidRPr="00783F38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20F0" w:rsidRPr="00203871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</w:pPr>
            <w:proofErr w:type="spellStart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lastRenderedPageBreak/>
              <w:t>Re</w:t>
            </w:r>
            <w:r w:rsidR="00EA4BA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s</w:t>
            </w:r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sources</w:t>
            </w:r>
            <w:proofErr w:type="spellEnd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 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0F0" w:rsidRPr="00435811" w:rsidRDefault="001E20F0" w:rsidP="007527E3">
            <w:p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 xml:space="preserve">Ressources nécessaires : </w:t>
            </w:r>
          </w:p>
          <w:p w:rsidR="001E20F0" w:rsidRPr="00435811" w:rsidRDefault="001E20F0" w:rsidP="001E20F0">
            <w:pPr>
              <w:pStyle w:val="Paragraphedeliste"/>
              <w:numPr>
                <w:ilvl w:val="0"/>
                <w:numId w:val="3"/>
              </w:num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>Inclusion de la tâche dans les plans annuels des personnes identifiées plus haut.</w:t>
            </w:r>
          </w:p>
          <w:p w:rsidR="001E20F0" w:rsidRPr="00435811" w:rsidRDefault="00F514C5" w:rsidP="00F514C5">
            <w:pPr>
              <w:pStyle w:val="Paragraphedeliste"/>
              <w:numPr>
                <w:ilvl w:val="0"/>
                <w:numId w:val="3"/>
              </w:num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>Moyens financiers (c</w:t>
            </w:r>
            <w:r w:rsidR="001E20F0" w:rsidRPr="00435811">
              <w:rPr>
                <w:lang w:val="fr-FR"/>
              </w:rPr>
              <w:t>onsultants externes</w:t>
            </w:r>
            <w:r w:rsidRPr="00435811">
              <w:rPr>
                <w:lang w:val="fr-FR"/>
              </w:rPr>
              <w:t>)</w:t>
            </w:r>
          </w:p>
        </w:tc>
      </w:tr>
      <w:tr w:rsidR="001E20F0" w:rsidRPr="00783F38" w:rsidTr="007527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20F0" w:rsidRPr="00203871" w:rsidRDefault="001E20F0" w:rsidP="007527E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Autre</w:t>
            </w:r>
            <w:proofErr w:type="spellEnd"/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0F0" w:rsidRPr="00435811" w:rsidRDefault="001E20F0" w:rsidP="009505AF">
            <w:pPr>
              <w:spacing w:after="0"/>
              <w:rPr>
                <w:lang w:val="fr-FR"/>
              </w:rPr>
            </w:pPr>
            <w:r w:rsidRPr="00435811">
              <w:rPr>
                <w:lang w:val="fr-FR"/>
              </w:rPr>
              <w:t xml:space="preserve">La définition et mise en œuvre de l’étude de </w:t>
            </w:r>
            <w:proofErr w:type="spellStart"/>
            <w:r w:rsidRPr="00435811">
              <w:rPr>
                <w:lang w:val="fr-FR"/>
              </w:rPr>
              <w:t>baseline</w:t>
            </w:r>
            <w:proofErr w:type="spellEnd"/>
            <w:r w:rsidRPr="00435811">
              <w:rPr>
                <w:lang w:val="fr-FR"/>
              </w:rPr>
              <w:t xml:space="preserve"> est assez urgente et le recrutement des consultants devrait avoir été finalisé avant </w:t>
            </w:r>
            <w:r w:rsidR="009505AF" w:rsidRPr="00435811">
              <w:rPr>
                <w:lang w:val="fr-FR"/>
              </w:rPr>
              <w:t>le début du mois d’Avril</w:t>
            </w:r>
            <w:r w:rsidRPr="00435811">
              <w:rPr>
                <w:lang w:val="fr-FR"/>
              </w:rPr>
              <w:t xml:space="preserve"> </w:t>
            </w:r>
            <w:r w:rsidR="009505AF" w:rsidRPr="00435811">
              <w:rPr>
                <w:lang w:val="fr-FR"/>
              </w:rPr>
              <w:t>2018</w:t>
            </w:r>
            <w:r w:rsidRPr="00435811">
              <w:rPr>
                <w:lang w:val="fr-FR"/>
              </w:rPr>
              <w:t>. Il est important d’inclure l’ensemble des délégations en C/SEE ainsi que le DAH, et d’informer au plus vite l’ensemble des parties prenantes en Europe sur les implications que la mesure de cet indicateur générera.</w:t>
            </w:r>
          </w:p>
        </w:tc>
      </w:tr>
    </w:tbl>
    <w:p w:rsidR="00730E0F" w:rsidRDefault="00730E0F"/>
    <w:sectPr w:rsidR="00730E0F" w:rsidSect="000764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D0" w:rsidRDefault="00C222D0">
      <w:pPr>
        <w:spacing w:after="0" w:line="240" w:lineRule="auto"/>
      </w:pPr>
      <w:r>
        <w:separator/>
      </w:r>
    </w:p>
  </w:endnote>
  <w:endnote w:type="continuationSeparator" w:id="0">
    <w:p w:rsidR="00C222D0" w:rsidRDefault="00C2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D0" w:rsidRDefault="00C222D0">
      <w:pPr>
        <w:spacing w:after="0" w:line="240" w:lineRule="auto"/>
      </w:pPr>
      <w:r>
        <w:separator/>
      </w:r>
    </w:p>
  </w:footnote>
  <w:footnote w:type="continuationSeparator" w:id="0">
    <w:p w:rsidR="00C222D0" w:rsidRDefault="00C2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B" w:rsidRPr="00691A2B" w:rsidRDefault="00203EE5">
    <w:pPr>
      <w:pStyle w:val="En-tte"/>
      <w:rPr>
        <w:i/>
      </w:rPr>
    </w:pPr>
    <w:r w:rsidRPr="00691A2B">
      <w:rPr>
        <w:i/>
        <w:noProof/>
        <w:lang w:val="en-US"/>
      </w:rPr>
      <w:drawing>
        <wp:anchor distT="0" distB="0" distL="114300" distR="114300" simplePos="0" relativeHeight="251659264" behindDoc="0" locked="0" layoutInCell="1" allowOverlap="1" wp14:anchorId="67A34B80" wp14:editId="7E946801">
          <wp:simplePos x="0" y="0"/>
          <wp:positionH relativeFrom="margin">
            <wp:posOffset>4552950</wp:posOffset>
          </wp:positionH>
          <wp:positionV relativeFrom="margin">
            <wp:posOffset>-534670</wp:posOffset>
          </wp:positionV>
          <wp:extent cx="1604010" cy="277495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5E1">
      <w:rPr>
        <w:i/>
      </w:rPr>
      <w:t>20.09.</w:t>
    </w:r>
    <w:r w:rsidRPr="00691A2B">
      <w:rPr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59D"/>
    <w:multiLevelType w:val="hybridMultilevel"/>
    <w:tmpl w:val="7BCCC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109"/>
    <w:multiLevelType w:val="hybridMultilevel"/>
    <w:tmpl w:val="881C2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212"/>
    <w:multiLevelType w:val="hybridMultilevel"/>
    <w:tmpl w:val="251E6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D4B17"/>
    <w:multiLevelType w:val="hybridMultilevel"/>
    <w:tmpl w:val="F0EAEF64"/>
    <w:lvl w:ilvl="0" w:tplc="6D98E0D4">
      <w:start w:val="1"/>
      <w:numFmt w:val="decimal"/>
      <w:lvlText w:val="%1."/>
      <w:lvlJc w:val="left"/>
      <w:pPr>
        <w:ind w:left="720" w:hanging="360"/>
      </w:pPr>
    </w:lvl>
    <w:lvl w:ilvl="1" w:tplc="BA5A9D42">
      <w:start w:val="1"/>
      <w:numFmt w:val="lowerLetter"/>
      <w:lvlText w:val="%2."/>
      <w:lvlJc w:val="left"/>
      <w:pPr>
        <w:ind w:left="1440" w:hanging="360"/>
      </w:pPr>
    </w:lvl>
    <w:lvl w:ilvl="2" w:tplc="657A6324">
      <w:start w:val="1"/>
      <w:numFmt w:val="lowerRoman"/>
      <w:lvlText w:val="%3."/>
      <w:lvlJc w:val="right"/>
      <w:pPr>
        <w:ind w:left="2160" w:hanging="180"/>
      </w:pPr>
    </w:lvl>
    <w:lvl w:ilvl="3" w:tplc="D2A2062A">
      <w:start w:val="1"/>
      <w:numFmt w:val="decimal"/>
      <w:lvlText w:val="%4."/>
      <w:lvlJc w:val="left"/>
      <w:pPr>
        <w:ind w:left="2880" w:hanging="360"/>
      </w:pPr>
    </w:lvl>
    <w:lvl w:ilvl="4" w:tplc="B760595A">
      <w:start w:val="1"/>
      <w:numFmt w:val="lowerLetter"/>
      <w:lvlText w:val="%5."/>
      <w:lvlJc w:val="left"/>
      <w:pPr>
        <w:ind w:left="3600" w:hanging="360"/>
      </w:pPr>
    </w:lvl>
    <w:lvl w:ilvl="5" w:tplc="6BFC1AAA">
      <w:start w:val="1"/>
      <w:numFmt w:val="lowerRoman"/>
      <w:lvlText w:val="%6."/>
      <w:lvlJc w:val="right"/>
      <w:pPr>
        <w:ind w:left="4320" w:hanging="180"/>
      </w:pPr>
    </w:lvl>
    <w:lvl w:ilvl="6" w:tplc="457271C2">
      <w:start w:val="1"/>
      <w:numFmt w:val="decimal"/>
      <w:lvlText w:val="%7."/>
      <w:lvlJc w:val="left"/>
      <w:pPr>
        <w:ind w:left="5040" w:hanging="360"/>
      </w:pPr>
    </w:lvl>
    <w:lvl w:ilvl="7" w:tplc="7A1E3B84">
      <w:start w:val="1"/>
      <w:numFmt w:val="lowerLetter"/>
      <w:lvlText w:val="%8."/>
      <w:lvlJc w:val="left"/>
      <w:pPr>
        <w:ind w:left="5760" w:hanging="360"/>
      </w:pPr>
    </w:lvl>
    <w:lvl w:ilvl="8" w:tplc="B608F6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6623"/>
    <w:multiLevelType w:val="hybridMultilevel"/>
    <w:tmpl w:val="E28CA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6183D"/>
    <w:multiLevelType w:val="hybridMultilevel"/>
    <w:tmpl w:val="2048EC1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F0"/>
    <w:rsid w:val="000413D0"/>
    <w:rsid w:val="00132794"/>
    <w:rsid w:val="001E20F0"/>
    <w:rsid w:val="00203EE5"/>
    <w:rsid w:val="0021740E"/>
    <w:rsid w:val="00247DE2"/>
    <w:rsid w:val="0033796D"/>
    <w:rsid w:val="003513FB"/>
    <w:rsid w:val="00435811"/>
    <w:rsid w:val="00466F51"/>
    <w:rsid w:val="0049695B"/>
    <w:rsid w:val="00503B32"/>
    <w:rsid w:val="00570DCB"/>
    <w:rsid w:val="005D75E1"/>
    <w:rsid w:val="005E215C"/>
    <w:rsid w:val="0064015D"/>
    <w:rsid w:val="006E422D"/>
    <w:rsid w:val="00730E0F"/>
    <w:rsid w:val="007810CC"/>
    <w:rsid w:val="007F7147"/>
    <w:rsid w:val="0085237C"/>
    <w:rsid w:val="009505AF"/>
    <w:rsid w:val="00A227EB"/>
    <w:rsid w:val="00AA7507"/>
    <w:rsid w:val="00AB1A4D"/>
    <w:rsid w:val="00B73478"/>
    <w:rsid w:val="00B964A4"/>
    <w:rsid w:val="00C0658E"/>
    <w:rsid w:val="00C222D0"/>
    <w:rsid w:val="00C26C1A"/>
    <w:rsid w:val="00CD20D9"/>
    <w:rsid w:val="00D96ACA"/>
    <w:rsid w:val="00E058C2"/>
    <w:rsid w:val="00EA4B41"/>
    <w:rsid w:val="00EA4BA2"/>
    <w:rsid w:val="00F514C5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F0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0F0"/>
    <w:rPr>
      <w:lang w:val="fr-CH"/>
    </w:rPr>
  </w:style>
  <w:style w:type="paragraph" w:styleId="Paragraphedeliste">
    <w:name w:val="List Paragraph"/>
    <w:basedOn w:val="Normal"/>
    <w:link w:val="ParagraphedelisteCar"/>
    <w:uiPriority w:val="34"/>
    <w:qFormat/>
    <w:rsid w:val="001E20F0"/>
    <w:pPr>
      <w:ind w:left="720"/>
      <w:contextualSpacing/>
    </w:pPr>
  </w:style>
  <w:style w:type="paragraph" w:styleId="Sansinterligne">
    <w:name w:val="No Spacing"/>
    <w:uiPriority w:val="1"/>
    <w:qFormat/>
    <w:rsid w:val="001E20F0"/>
    <w:pPr>
      <w:spacing w:after="0" w:line="240" w:lineRule="auto"/>
    </w:pPr>
    <w:rPr>
      <w:lang w:val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1E20F0"/>
    <w:pPr>
      <w:spacing w:after="0" w:line="240" w:lineRule="auto"/>
    </w:pPr>
    <w:rPr>
      <w:sz w:val="20"/>
      <w:szCs w:val="20"/>
      <w:lang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E20F0"/>
    <w:rPr>
      <w:sz w:val="20"/>
      <w:szCs w:val="20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E20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20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20F0"/>
    <w:rPr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0F0"/>
    <w:rPr>
      <w:rFonts w:ascii="Tahoma" w:hAnsi="Tahoma" w:cs="Tahoma"/>
      <w:sz w:val="16"/>
      <w:szCs w:val="16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20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20F0"/>
    <w:rPr>
      <w:b/>
      <w:bCs/>
      <w:sz w:val="20"/>
      <w:szCs w:val="20"/>
      <w:lang w:val="fr-CH"/>
    </w:rPr>
  </w:style>
  <w:style w:type="character" w:customStyle="1" w:styleId="ParagraphedelisteCar">
    <w:name w:val="Paragraphe de liste Car"/>
    <w:link w:val="Paragraphedeliste"/>
    <w:uiPriority w:val="34"/>
    <w:locked/>
    <w:rsid w:val="006E422D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5D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5E1"/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F0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0F0"/>
    <w:rPr>
      <w:lang w:val="fr-CH"/>
    </w:rPr>
  </w:style>
  <w:style w:type="paragraph" w:styleId="Paragraphedeliste">
    <w:name w:val="List Paragraph"/>
    <w:basedOn w:val="Normal"/>
    <w:link w:val="ParagraphedelisteCar"/>
    <w:uiPriority w:val="34"/>
    <w:qFormat/>
    <w:rsid w:val="001E20F0"/>
    <w:pPr>
      <w:ind w:left="720"/>
      <w:contextualSpacing/>
    </w:pPr>
  </w:style>
  <w:style w:type="paragraph" w:styleId="Sansinterligne">
    <w:name w:val="No Spacing"/>
    <w:uiPriority w:val="1"/>
    <w:qFormat/>
    <w:rsid w:val="001E20F0"/>
    <w:pPr>
      <w:spacing w:after="0" w:line="240" w:lineRule="auto"/>
    </w:pPr>
    <w:rPr>
      <w:lang w:val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1E20F0"/>
    <w:pPr>
      <w:spacing w:after="0" w:line="240" w:lineRule="auto"/>
    </w:pPr>
    <w:rPr>
      <w:sz w:val="20"/>
      <w:szCs w:val="20"/>
      <w:lang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E20F0"/>
    <w:rPr>
      <w:sz w:val="20"/>
      <w:szCs w:val="20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E20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20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20F0"/>
    <w:rPr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0F0"/>
    <w:rPr>
      <w:rFonts w:ascii="Tahoma" w:hAnsi="Tahoma" w:cs="Tahoma"/>
      <w:sz w:val="16"/>
      <w:szCs w:val="16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20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20F0"/>
    <w:rPr>
      <w:b/>
      <w:bCs/>
      <w:sz w:val="20"/>
      <w:szCs w:val="20"/>
      <w:lang w:val="fr-CH"/>
    </w:rPr>
  </w:style>
  <w:style w:type="character" w:customStyle="1" w:styleId="ParagraphedelisteCar">
    <w:name w:val="Paragraphe de liste Car"/>
    <w:link w:val="Paragraphedeliste"/>
    <w:uiPriority w:val="34"/>
    <w:locked/>
    <w:rsid w:val="006E422D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5D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5E1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9338-109E-4F2F-A043-98E9278A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Cazenave</dc:creator>
  <cp:lastModifiedBy>Sophie Mareschal</cp:lastModifiedBy>
  <cp:revision>10</cp:revision>
  <dcterms:created xsi:type="dcterms:W3CDTF">2017-09-20T15:22:00Z</dcterms:created>
  <dcterms:modified xsi:type="dcterms:W3CDTF">2017-11-02T12:09:00Z</dcterms:modified>
</cp:coreProperties>
</file>