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0" w:rsidRDefault="00EE2260">
      <w:pPr>
        <w:jc w:val="center"/>
        <w:rPr>
          <w:b/>
          <w:color w:val="17365D" w:themeColor="text2" w:themeShade="BF"/>
          <w:sz w:val="32"/>
        </w:rPr>
      </w:pPr>
    </w:p>
    <w:p w:rsidR="00B67240" w:rsidRDefault="00B67240" w:rsidP="00B67240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</w:rPr>
      </w:pPr>
      <w:proofErr w:type="spellStart"/>
      <w:r>
        <w:rPr>
          <w:rFonts w:ascii="Calibri" w:eastAsia="Calibri" w:hAnsi="Calibri" w:cs="Times New Roman"/>
          <w:b/>
          <w:color w:val="17365D" w:themeColor="text2" w:themeShade="BF"/>
          <w:sz w:val="24"/>
        </w:rPr>
        <w:t>Tdh</w:t>
      </w:r>
      <w:proofErr w:type="spellEnd"/>
      <w:r>
        <w:rPr>
          <w:rFonts w:ascii="Calibri" w:eastAsia="Calibri" w:hAnsi="Calibri" w:cs="Times New Roman"/>
          <w:b/>
          <w:color w:val="17365D" w:themeColor="text2" w:themeShade="BF"/>
          <w:sz w:val="24"/>
        </w:rPr>
        <w:t xml:space="preserve"> Program Contribution 2017-2020 / Strategic Plan 2016-2020</w:t>
      </w:r>
    </w:p>
    <w:p w:rsidR="00B67240" w:rsidRDefault="00B67240" w:rsidP="00B67240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</w:rPr>
      </w:pPr>
      <w:r>
        <w:rPr>
          <w:rFonts w:ascii="Calibri" w:eastAsia="Calibri" w:hAnsi="Calibri" w:cs="Times New Roman"/>
          <w:b/>
          <w:color w:val="17365D" w:themeColor="text2" w:themeShade="BF"/>
          <w:sz w:val="24"/>
        </w:rPr>
        <w:t>Program Indicators</w:t>
      </w:r>
    </w:p>
    <w:p w:rsidR="00EE2260" w:rsidRDefault="000F49BE">
      <w:pPr>
        <w:rPr>
          <w:b/>
        </w:rPr>
      </w:pPr>
      <w:r>
        <w:rPr>
          <w:b/>
        </w:rPr>
        <w:t>Migration program</w:t>
      </w:r>
    </w:p>
    <w:p w:rsidR="00EE2260" w:rsidRDefault="000F49BE">
      <w:pPr>
        <w:pStyle w:val="Sansinterligne"/>
        <w:spacing w:before="60" w:after="60"/>
        <w:jc w:val="both"/>
        <w:rPr>
          <w:rFonts w:eastAsia="Calibri" w:cs="Arial"/>
        </w:rPr>
      </w:pPr>
      <w:r>
        <w:rPr>
          <w:b/>
        </w:rPr>
        <w:t>Result</w:t>
      </w:r>
      <w:r>
        <w:t xml:space="preserve"> :</w:t>
      </w:r>
      <w:r>
        <w:rPr>
          <w:rFonts w:eastAsia="Calibri" w:cs="Arial"/>
        </w:rPr>
        <w:t xml:space="preserve"> </w:t>
      </w:r>
      <w:r w:rsidR="00A311AF">
        <w:rPr>
          <w:rFonts w:eastAsia="Calibri" w:cs="Arial"/>
        </w:rPr>
        <w:t>Upon</w:t>
      </w:r>
      <w:r>
        <w:rPr>
          <w:rFonts w:eastAsia="Calibri" w:cs="Arial"/>
        </w:rPr>
        <w:t xml:space="preserve"> 4 major flows, </w:t>
      </w:r>
      <w:r w:rsidR="00A311AF">
        <w:rPr>
          <w:rFonts w:eastAsia="Calibri" w:cs="Arial"/>
        </w:rPr>
        <w:t>at primary</w:t>
      </w:r>
      <w:r>
        <w:rPr>
          <w:rFonts w:eastAsia="Calibri" w:cs="Arial"/>
        </w:rPr>
        <w:t xml:space="preserve"> and at different stages of their migratory journey, children benefit from qualit</w:t>
      </w:r>
      <w:r w:rsidR="00560D13">
        <w:rPr>
          <w:rFonts w:eastAsia="Calibri" w:cs="Arial"/>
        </w:rPr>
        <w:t>ative</w:t>
      </w:r>
      <w:r>
        <w:rPr>
          <w:rFonts w:eastAsia="Calibri" w:cs="Arial"/>
        </w:rPr>
        <w:t xml:space="preserve"> institutional services and community mechanisms that are coordinated to prevent forms of trafficking and early and/or forced migrations, alternative solutions to migration, reduce the risks encountered during migration, strengthen the protection and self-protection capacities of children and young migrants, and improve </w:t>
      </w:r>
      <w:r w:rsidR="00560D13">
        <w:rPr>
          <w:rFonts w:eastAsia="Calibri" w:cs="Arial"/>
        </w:rPr>
        <w:t>services of</w:t>
      </w:r>
      <w:r>
        <w:rPr>
          <w:rFonts w:eastAsia="Calibri" w:cs="Arial"/>
        </w:rPr>
        <w:t xml:space="preserve"> integration </w:t>
      </w:r>
      <w:r w:rsidR="00560D13">
        <w:rPr>
          <w:rFonts w:eastAsia="Calibri" w:cs="Arial"/>
        </w:rPr>
        <w:t xml:space="preserve">in host countries as well as </w:t>
      </w:r>
      <w:r>
        <w:rPr>
          <w:rFonts w:eastAsia="Calibri" w:cs="Arial"/>
        </w:rPr>
        <w:t>return/reintegration.</w:t>
      </w:r>
    </w:p>
    <w:p w:rsidR="00EE2260" w:rsidRDefault="000F49BE">
      <w:pPr>
        <w:rPr>
          <w:b/>
        </w:rPr>
      </w:pPr>
      <w:r>
        <w:rPr>
          <w:b/>
        </w:rPr>
        <w:t xml:space="preserve">Countries: </w:t>
      </w:r>
      <w:r>
        <w:t>All of the European countries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Indicator (Title)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45F5" w:rsidRDefault="00F745F5" w:rsidP="00F745F5">
            <w:pPr>
              <w:pStyle w:val="Sansinterligne"/>
              <w:spacing w:before="60" w:after="60"/>
              <w:jc w:val="both"/>
              <w:rPr>
                <w:rFonts w:eastAsia="Calibri" w:cs="Arial"/>
              </w:rPr>
            </w:pPr>
            <w:r w:rsidRPr="00F745F5">
              <w:rPr>
                <w:rFonts w:eastAsia="Calibri" w:cs="Arial"/>
              </w:rPr>
              <w:t>In Central and South Eastern Europe, number of children affected by migration and their family members whose resilience has been enhanced</w:t>
            </w:r>
            <w:r>
              <w:rPr>
                <w:rFonts w:eastAsia="Calibri" w:cs="Arial"/>
              </w:rPr>
              <w:t xml:space="preserve"> </w:t>
            </w:r>
          </w:p>
          <w:p w:rsidR="00F745F5" w:rsidRDefault="00F745F5">
            <w:pPr>
              <w:rPr>
                <w:rFonts w:eastAsia="Calibri" w:cs="Arial"/>
              </w:rPr>
            </w:pPr>
          </w:p>
          <w:p w:rsidR="00EE2260" w:rsidRDefault="000F49BE">
            <w:pPr>
              <w:rPr>
                <w:rFonts w:eastAsia="Calibri" w:cs="Arial"/>
              </w:rPr>
            </w:pPr>
            <w:bookmarkStart w:id="0" w:name="_GoBack"/>
            <w:bookmarkEnd w:id="0"/>
            <w:r>
              <w:rPr>
                <w:rFonts w:eastAsia="Calibri" w:cs="Arial"/>
              </w:rPr>
              <w:t>Target: 16,000 children and young people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Description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spacing w:after="0"/>
            </w:pPr>
            <w:r>
              <w:rPr>
                <w:u w:val="single"/>
              </w:rPr>
              <w:t>Children</w:t>
            </w:r>
            <w:r>
              <w:t xml:space="preserve"> Under 18.  </w:t>
            </w:r>
            <w:r>
              <w:rPr>
                <w:u w:val="single"/>
              </w:rPr>
              <w:t>Young people</w:t>
            </w:r>
            <w:r>
              <w:t xml:space="preserve"> : 18-24 years old</w:t>
            </w:r>
          </w:p>
          <w:p w:rsidR="00EE2260" w:rsidRDefault="00EE2260">
            <w:pPr>
              <w:spacing w:after="0"/>
            </w:pPr>
          </w:p>
          <w:p w:rsidR="00EE2260" w:rsidRDefault="000F49BE">
            <w:pPr>
              <w:spacing w:after="0"/>
            </w:pPr>
            <w:r>
              <w:rPr>
                <w:u w:val="single"/>
              </w:rPr>
              <w:t>Children and young people affected by migration</w:t>
            </w:r>
            <w:r>
              <w:t xml:space="preserve"> :Any child/young person belonging to one of the 4 following categories:</w:t>
            </w:r>
          </w:p>
          <w:p w:rsidR="00EE2260" w:rsidRDefault="000F49B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Children and young people on the move (engaged in a migration process);</w:t>
            </w:r>
          </w:p>
          <w:p w:rsidR="00EE2260" w:rsidRDefault="000F49B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 xml:space="preserve">Children and young people who are potential migrants (living in environments </w:t>
            </w:r>
            <w:r w:rsidR="00990E07">
              <w:t>highly affected</w:t>
            </w:r>
            <w:r>
              <w:t xml:space="preserve"> by the migration of children and young people and/or </w:t>
            </w:r>
            <w:r w:rsidR="00990E07">
              <w:t xml:space="preserve">migration compelled </w:t>
            </w:r>
            <w:r>
              <w:t xml:space="preserve">environments </w:t>
            </w:r>
            <w:r w:rsidR="00990E07">
              <w:t>forcing</w:t>
            </w:r>
            <w:r>
              <w:t xml:space="preserve"> them to move for economic, social, cultural, historical, or political reasons, etc.) ;</w:t>
            </w:r>
          </w:p>
          <w:p w:rsidR="00EE2260" w:rsidRDefault="000F49B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 xml:space="preserve">Children and young people whose kin (parents siblings, guardians) </w:t>
            </w:r>
            <w:r w:rsidR="00B97470">
              <w:t xml:space="preserve">have </w:t>
            </w:r>
            <w:r>
              <w:t>migrated (children left behind);</w:t>
            </w:r>
          </w:p>
          <w:p w:rsidR="00EE2260" w:rsidRDefault="000F49BE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 xml:space="preserve">Children and young people temporarily or permanently out of migration (integrated, reintegrated, </w:t>
            </w:r>
            <w:r w:rsidR="00C06186">
              <w:t>and returned</w:t>
            </w:r>
            <w:r>
              <w:t>).</w:t>
            </w:r>
          </w:p>
          <w:p w:rsidR="00EE2260" w:rsidRDefault="00EE2260">
            <w:pPr>
              <w:spacing w:after="0"/>
              <w:rPr>
                <w:rFonts w:eastAsia="MS Mincho" w:cs="Helv"/>
                <w:b/>
                <w:color w:val="000000"/>
              </w:rPr>
            </w:pPr>
          </w:p>
          <w:p w:rsidR="00EE2260" w:rsidRDefault="000F49BE">
            <w:pPr>
              <w:spacing w:after="0"/>
            </w:pPr>
            <w:r>
              <w:rPr>
                <w:rFonts w:eastAsia="MS Mincho" w:cs="Helv"/>
                <w:color w:val="000000"/>
                <w:u w:val="single"/>
              </w:rPr>
              <w:t>Resilience</w:t>
            </w:r>
            <w:r>
              <w:rPr>
                <w:rFonts w:eastAsia="MS Mincho" w:cs="Helv"/>
                <w:color w:val="000000"/>
              </w:rPr>
              <w:t xml:space="preserve">: The ability of girls, boys, families to anticipate, cope, adapt and transform their environment </w:t>
            </w:r>
            <w:r w:rsidR="00C76032">
              <w:rPr>
                <w:rFonts w:eastAsia="MS Mincho" w:cs="Helv"/>
                <w:color w:val="000000"/>
              </w:rPr>
              <w:t xml:space="preserve">in consideration of </w:t>
            </w:r>
            <w:r>
              <w:rPr>
                <w:rFonts w:eastAsia="MS Mincho" w:cs="Helv"/>
                <w:color w:val="000000"/>
              </w:rPr>
              <w:t xml:space="preserve"> shock</w:t>
            </w:r>
            <w:r w:rsidR="00C76032">
              <w:rPr>
                <w:rFonts w:eastAsia="MS Mincho" w:cs="Helv"/>
                <w:color w:val="000000"/>
              </w:rPr>
              <w:t>s</w:t>
            </w:r>
            <w:r>
              <w:rPr>
                <w:rFonts w:eastAsia="MS Mincho" w:cs="Helv"/>
                <w:color w:val="000000"/>
              </w:rPr>
              <w:t xml:space="preserve">, adversity and stress. </w:t>
            </w:r>
          </w:p>
          <w:p w:rsidR="00EE2260" w:rsidRDefault="00EE2260">
            <w:pPr>
              <w:spacing w:after="0"/>
              <w:rPr>
                <w:b/>
              </w:rPr>
            </w:pPr>
          </w:p>
          <w:p w:rsidR="00EE2260" w:rsidRDefault="000F49BE">
            <w:pPr>
              <w:spacing w:after="0"/>
            </w:pPr>
            <w:r>
              <w:rPr>
                <w:u w:val="single"/>
              </w:rPr>
              <w:t xml:space="preserve">Family </w:t>
            </w:r>
            <w:r w:rsidR="00C06186">
              <w:rPr>
                <w:u w:val="single"/>
              </w:rPr>
              <w:t>member</w:t>
            </w:r>
            <w:r w:rsidR="00C06186">
              <w:t>:</w:t>
            </w:r>
            <w:r>
              <w:t xml:space="preserve"> person united by a relationship either legal, biological or traditional with a child or a young person affected by migration.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What it measures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spacing w:after="0"/>
            </w:pPr>
            <w:r>
              <w:t>This indicator is intended to measure the impact of Tdh's intervention on the ability of a child or a young person (and his family) affected by migration to</w:t>
            </w:r>
            <w:r>
              <w:rPr>
                <w:rFonts w:eastAsia="MS Mincho" w:cs="Helv"/>
                <w:color w:val="000000"/>
              </w:rPr>
              <w:t xml:space="preserve"> deal with events related to its environment and to overcome </w:t>
            </w:r>
            <w:r>
              <w:rPr>
                <w:rFonts w:eastAsia="MS Mincho" w:cs="Helv"/>
                <w:color w:val="000000"/>
              </w:rPr>
              <w:lastRenderedPageBreak/>
              <w:t>them.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Unity and disaggregation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spacing w:after="0"/>
            </w:pPr>
            <w:r>
              <w:rPr>
                <w:b/>
              </w:rPr>
              <w:t>Unit</w:t>
            </w:r>
            <w:r>
              <w:t xml:space="preserve"> : individual </w:t>
            </w:r>
          </w:p>
          <w:p w:rsidR="00EE2260" w:rsidRDefault="000F49BE">
            <w:pPr>
              <w:spacing w:after="0"/>
            </w:pPr>
            <w:r>
              <w:rPr>
                <w:b/>
              </w:rPr>
              <w:t>Disaggregation</w:t>
            </w:r>
            <w:r>
              <w:t xml:space="preserve"> </w:t>
            </w:r>
          </w:p>
          <w:p w:rsidR="00EE2260" w:rsidRDefault="000F49BE">
            <w:pPr>
              <w:pStyle w:val="Paragraphedeliste"/>
              <w:numPr>
                <w:ilvl w:val="0"/>
                <w:numId w:val="1"/>
              </w:numPr>
              <w:spacing w:after="0"/>
            </w:pPr>
            <w:r>
              <w:t>Age group (children: 0-15; 16-</w:t>
            </w:r>
            <w:r w:rsidR="00C06186">
              <w:t>17 ;</w:t>
            </w:r>
            <w:r>
              <w:t>) Young pe</w:t>
            </w:r>
            <w:r w:rsidR="00676BA7">
              <w:t>r</w:t>
            </w:r>
            <w:r>
              <w:t>son: 18-24)</w:t>
            </w:r>
          </w:p>
          <w:p w:rsidR="00EE2260" w:rsidRDefault="000F49BE">
            <w:pPr>
              <w:pStyle w:val="Paragraphedeliste"/>
              <w:numPr>
                <w:ilvl w:val="0"/>
                <w:numId w:val="1"/>
              </w:numPr>
              <w:spacing w:after="0"/>
            </w:pPr>
            <w:r>
              <w:t>Sex</w:t>
            </w:r>
          </w:p>
          <w:p w:rsidR="00EE2260" w:rsidRDefault="000F49BE">
            <w:pPr>
              <w:pStyle w:val="Paragraphedeliste"/>
              <w:numPr>
                <w:ilvl w:val="0"/>
                <w:numId w:val="1"/>
              </w:numPr>
              <w:spacing w:after="0"/>
            </w:pPr>
            <w:r>
              <w:t>Category of children affected by migration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Calculation mode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676BA7" w:rsidP="00676BA7">
            <w:pPr>
              <w:pStyle w:val="Notedebasdepage"/>
              <w:rPr>
                <w:sz w:val="22"/>
              </w:rPr>
            </w:pPr>
            <w:r>
              <w:rPr>
                <w:rFonts w:eastAsia="MS Mincho" w:cs="Helv"/>
                <w:color w:val="000000"/>
                <w:sz w:val="22"/>
              </w:rPr>
              <w:t>Simple</w:t>
            </w:r>
            <w:r w:rsidR="000F49BE">
              <w:rPr>
                <w:rFonts w:eastAsia="MS Mincho" w:cs="Helv"/>
                <w:color w:val="000000"/>
                <w:sz w:val="22"/>
              </w:rPr>
              <w:t xml:space="preserve"> </w:t>
            </w:r>
            <w:r>
              <w:rPr>
                <w:rFonts w:eastAsia="MS Mincho" w:cs="Helv"/>
                <w:color w:val="000000"/>
                <w:sz w:val="22"/>
              </w:rPr>
              <w:t>addition</w:t>
            </w:r>
            <w:r w:rsidR="000F49BE">
              <w:rPr>
                <w:rFonts w:eastAsia="MS Mincho" w:cs="Helv"/>
                <w:color w:val="000000"/>
                <w:sz w:val="22"/>
              </w:rPr>
              <w:t xml:space="preserve"> of individuals whose resilience has been strengthened. 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260" w:rsidRDefault="000F49BE">
            <w:pPr>
              <w:spacing w:after="0"/>
            </w:pPr>
            <w:r>
              <w:t>Baseline must be conducted in April 2018 with target groups and witness groups.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Sources and methods of collection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Helv"/>
                <w:color w:val="000000"/>
              </w:rPr>
            </w:pPr>
            <w:r>
              <w:rPr>
                <w:rFonts w:eastAsia="MS Mincho" w:cs="Helv"/>
                <w:color w:val="000000"/>
              </w:rPr>
              <w:t>Method: Resilience will be measured from a circumscribed set of target groups identified from the communities of origin (sedentary and migrant). A combination of two methods will be used: --</w:t>
            </w:r>
          </w:p>
          <w:p w:rsidR="00EE2260" w:rsidRDefault="000F49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Helv"/>
                <w:color w:val="000000"/>
              </w:rPr>
            </w:pPr>
            <w:r>
              <w:rPr>
                <w:rFonts w:eastAsia="MS Mincho" w:cs="Helv"/>
                <w:color w:val="000000"/>
              </w:rPr>
              <w:tab/>
              <w:t xml:space="preserve">-A method based on </w:t>
            </w:r>
            <w:r w:rsidR="00404843">
              <w:rPr>
                <w:rFonts w:eastAsia="MS Mincho" w:cs="Helv"/>
                <w:color w:val="000000"/>
              </w:rPr>
              <w:t xml:space="preserve">objective </w:t>
            </w:r>
            <w:r>
              <w:rPr>
                <w:rFonts w:eastAsia="MS Mincho" w:cs="Helv"/>
                <w:color w:val="000000"/>
              </w:rPr>
              <w:t>identif</w:t>
            </w:r>
            <w:r w:rsidR="00404843">
              <w:rPr>
                <w:rFonts w:eastAsia="MS Mincho" w:cs="Helv"/>
                <w:color w:val="000000"/>
              </w:rPr>
              <w:t>ication</w:t>
            </w:r>
            <w:r>
              <w:rPr>
                <w:rFonts w:eastAsia="MS Mincho" w:cs="Helv"/>
                <w:color w:val="000000"/>
              </w:rPr>
              <w:t xml:space="preserve"> of </w:t>
            </w:r>
            <w:r w:rsidR="00404843">
              <w:rPr>
                <w:rFonts w:eastAsia="MS Mincho" w:cs="Helv"/>
                <w:color w:val="000000"/>
              </w:rPr>
              <w:t xml:space="preserve">key </w:t>
            </w:r>
            <w:r>
              <w:rPr>
                <w:rFonts w:eastAsia="MS Mincho" w:cs="Helv"/>
                <w:color w:val="000000"/>
              </w:rPr>
              <w:t xml:space="preserve">competencies related to inclusion and protection. A baseline study in 2018 will identify the </w:t>
            </w:r>
            <w:r w:rsidR="006A1BA7">
              <w:rPr>
                <w:rFonts w:eastAsia="MS Mincho" w:cs="Helv"/>
                <w:color w:val="000000"/>
              </w:rPr>
              <w:t>conditions</w:t>
            </w:r>
            <w:r>
              <w:rPr>
                <w:rFonts w:eastAsia="MS Mincho" w:cs="Helv"/>
                <w:color w:val="000000"/>
              </w:rPr>
              <w:t xml:space="preserve"> of resilience in target and in </w:t>
            </w:r>
            <w:r w:rsidR="00C06186">
              <w:rPr>
                <w:rFonts w:eastAsia="MS Mincho" w:cs="Helv"/>
                <w:color w:val="000000"/>
              </w:rPr>
              <w:t xml:space="preserve">witness </w:t>
            </w:r>
            <w:r>
              <w:rPr>
                <w:rFonts w:eastAsia="MS Mincho" w:cs="Helv"/>
                <w:color w:val="000000"/>
              </w:rPr>
              <w:t xml:space="preserve">communities.  </w:t>
            </w:r>
          </w:p>
          <w:p w:rsidR="00EE2260" w:rsidRDefault="000F49BE">
            <w:pPr>
              <w:spacing w:after="0"/>
              <w:rPr>
                <w:rFonts w:eastAsia="MS Mincho" w:cs="Helv"/>
                <w:color w:val="000000"/>
              </w:rPr>
            </w:pPr>
            <w:r>
              <w:rPr>
                <w:rFonts w:eastAsia="MS Mincho" w:cs="Helv"/>
                <w:color w:val="000000"/>
              </w:rPr>
              <w:tab/>
              <w:t xml:space="preserve">-An experimental, participatory and anthropological approach will identify with the </w:t>
            </w:r>
            <w:r w:rsidR="006A1BA7">
              <w:rPr>
                <w:rFonts w:eastAsia="MS Mincho" w:cs="Helv"/>
                <w:color w:val="000000"/>
              </w:rPr>
              <w:t xml:space="preserve">affected </w:t>
            </w:r>
            <w:r>
              <w:rPr>
                <w:rFonts w:eastAsia="MS Mincho" w:cs="Helv"/>
                <w:color w:val="000000"/>
              </w:rPr>
              <w:t xml:space="preserve">communities </w:t>
            </w:r>
            <w:r w:rsidR="006A1BA7">
              <w:rPr>
                <w:rFonts w:eastAsia="MS Mincho" w:cs="Helv"/>
                <w:color w:val="000000"/>
              </w:rPr>
              <w:t xml:space="preserve">resilient </w:t>
            </w:r>
            <w:r>
              <w:rPr>
                <w:rFonts w:eastAsia="MS Mincho" w:cs="Helv"/>
                <w:color w:val="000000"/>
              </w:rPr>
              <w:t>profiles as well as specific factors that generate them.</w:t>
            </w:r>
          </w:p>
          <w:p w:rsidR="00EE2260" w:rsidRDefault="000F49BE">
            <w:pPr>
              <w:spacing w:after="0"/>
              <w:rPr>
                <w:i/>
                <w:highlight w:val="yellow"/>
              </w:rPr>
            </w:pPr>
            <w:r>
              <w:rPr>
                <w:rFonts w:eastAsia="MS Mincho" w:cs="Helv"/>
                <w:color w:val="000000"/>
              </w:rPr>
              <w:t>Sources: children and families members. Other sources will be defined in the research protocol.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Collection tools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spacing w:after="0"/>
              <w:rPr>
                <w:highlight w:val="yellow"/>
              </w:rPr>
            </w:pPr>
            <w:r>
              <w:t>Collecti</w:t>
            </w:r>
            <w:r w:rsidR="007D24F5">
              <w:t>ng</w:t>
            </w:r>
            <w:r>
              <w:t xml:space="preserve"> tools need to be developed after the recruitment of the </w:t>
            </w:r>
            <w:r w:rsidR="007D24F5">
              <w:t xml:space="preserve">consultant </w:t>
            </w:r>
            <w:r>
              <w:t xml:space="preserve">team in charge of methodological development of the </w:t>
            </w:r>
            <w:r w:rsidR="007D24F5">
              <w:t xml:space="preserve">baseline </w:t>
            </w:r>
            <w:r>
              <w:t xml:space="preserve">study and follow-up steps.   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EE2260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EE2260">
            <w:pPr>
              <w:spacing w:after="0"/>
              <w:rPr>
                <w:i/>
              </w:rPr>
            </w:pPr>
          </w:p>
        </w:tc>
      </w:tr>
      <w:tr w:rsidR="00EE2260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Temporality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spacing w:after="0"/>
            </w:pPr>
            <w:r>
              <w:t>This indicator is measured in three phases:</w:t>
            </w:r>
          </w:p>
          <w:p w:rsidR="00EE2260" w:rsidRDefault="000F49BE">
            <w:pPr>
              <w:pStyle w:val="Paragraphedeliste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rFonts w:eastAsia="MS Mincho" w:cs="Helv"/>
                <w:color w:val="000000"/>
              </w:rPr>
              <w:t>Baseline (April 2018)</w:t>
            </w:r>
          </w:p>
          <w:p w:rsidR="00EE2260" w:rsidRDefault="000F49BE">
            <w:pPr>
              <w:pStyle w:val="Paragraphedeliste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rFonts w:eastAsia="MS Mincho" w:cs="Helv"/>
                <w:color w:val="000000"/>
              </w:rPr>
              <w:t>At the end of the cycle(2020)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Roles and responsibilities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260" w:rsidRDefault="000F49BE">
            <w:pPr>
              <w:spacing w:after="0"/>
            </w:pPr>
            <w:r>
              <w:rPr>
                <w:b/>
              </w:rPr>
              <w:t>Manager (supervision, coordination and validation)</w:t>
            </w:r>
            <w:r>
              <w:t>: Regional Migration Program Coordinator</w:t>
            </w:r>
          </w:p>
          <w:p w:rsidR="00EE2260" w:rsidRDefault="000F49BE">
            <w:pPr>
              <w:spacing w:after="0"/>
            </w:pPr>
            <w:r>
              <w:rPr>
                <w:b/>
              </w:rPr>
              <w:t>Manager for data collection</w:t>
            </w:r>
            <w:r>
              <w:t xml:space="preserve"> : delegates, </w:t>
            </w:r>
            <w:r w:rsidR="000F442C">
              <w:t xml:space="preserve">projects </w:t>
            </w:r>
            <w:r>
              <w:t>managers and M &amp; E managers (when the service is provided)</w:t>
            </w:r>
          </w:p>
          <w:p w:rsidR="00EE2260" w:rsidRDefault="000F49BE" w:rsidP="000F442C">
            <w:pPr>
              <w:spacing w:after="0"/>
            </w:pPr>
            <w:r>
              <w:rPr>
                <w:b/>
              </w:rPr>
              <w:t>Methodological supervision, data</w:t>
            </w:r>
            <w:r w:rsidR="000F442C">
              <w:rPr>
                <w:b/>
              </w:rPr>
              <w:t xml:space="preserve"> processing and deletion</w:t>
            </w:r>
            <w:r>
              <w:rPr>
                <w:b/>
              </w:rPr>
              <w:t>, analysis and reporting</w:t>
            </w:r>
            <w:r>
              <w:t xml:space="preserve"> : External Consultants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Issues related to the recommended quality</w:t>
            </w:r>
          </w:p>
          <w:p w:rsidR="00EE2260" w:rsidRDefault="00EE2260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260" w:rsidRDefault="000F49BE">
            <w:pPr>
              <w:spacing w:after="0"/>
            </w:pPr>
            <w:r>
              <w:t>Measuring this indicator poses several problems:</w:t>
            </w:r>
          </w:p>
          <w:p w:rsidR="00EE2260" w:rsidRDefault="000F49BE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 xml:space="preserve">The diversity of the programs and interventions of </w:t>
            </w:r>
            <w:proofErr w:type="spellStart"/>
            <w:r>
              <w:t>Tdh</w:t>
            </w:r>
            <w:proofErr w:type="spellEnd"/>
            <w:r>
              <w:t xml:space="preserve"> contributing to the protection of children affected by migration requires the involvement of all delegations, but also of the DHA and a </w:t>
            </w:r>
            <w:r w:rsidR="00E8468E">
              <w:t xml:space="preserve">collaborative and comprehensive </w:t>
            </w:r>
            <w:r>
              <w:t>working plan should be implemented and accepted by all</w:t>
            </w:r>
          </w:p>
          <w:p w:rsidR="00EE2260" w:rsidRDefault="000F49BE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>The outsourcing of some of the methodological work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Analysis Plan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260" w:rsidRDefault="000F49BE" w:rsidP="00914BF4">
            <w:pPr>
              <w:spacing w:after="0"/>
            </w:pPr>
            <w:r>
              <w:t xml:space="preserve">Developed in </w:t>
            </w:r>
            <w:r w:rsidR="00914BF4">
              <w:t>collaboration</w:t>
            </w:r>
            <w:r>
              <w:t xml:space="preserve"> with the team of consultants </w:t>
            </w:r>
            <w:r w:rsidR="00914BF4">
              <w:t>with</w:t>
            </w:r>
            <w:r>
              <w:t xml:space="preserve">in </w:t>
            </w:r>
            <w:r w:rsidR="00914BF4">
              <w:t xml:space="preserve">the </w:t>
            </w:r>
            <w:r>
              <w:t>methodological protocol research.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Resources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260" w:rsidRDefault="000F49BE">
            <w:pPr>
              <w:spacing w:after="0"/>
            </w:pPr>
            <w:r>
              <w:t xml:space="preserve">Resource requirements: </w:t>
            </w:r>
          </w:p>
          <w:p w:rsidR="00EE2260" w:rsidRDefault="00C06186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 xml:space="preserve">Including </w:t>
            </w:r>
            <w:r w:rsidR="000F49BE">
              <w:t xml:space="preserve">the task in the annual plans of </w:t>
            </w:r>
            <w:r w:rsidR="00C35124">
              <w:t>above identified</w:t>
            </w:r>
            <w:r w:rsidR="000F49BE">
              <w:t xml:space="preserve"> persons.</w:t>
            </w:r>
          </w:p>
          <w:p w:rsidR="00EE2260" w:rsidRDefault="000F49BE">
            <w:pPr>
              <w:pStyle w:val="Paragraphedeliste"/>
              <w:numPr>
                <w:ilvl w:val="0"/>
                <w:numId w:val="3"/>
              </w:numPr>
              <w:spacing w:after="0"/>
            </w:pPr>
            <w:r>
              <w:t>Financial resources (external consultants)</w:t>
            </w:r>
          </w:p>
        </w:tc>
      </w:tr>
      <w:tr w:rsidR="00EE22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260" w:rsidRDefault="000F49B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260" w:rsidRDefault="000F49BE">
            <w:pPr>
              <w:spacing w:after="0"/>
            </w:pPr>
            <w:r>
              <w:t xml:space="preserve">The description and </w:t>
            </w:r>
            <w:r w:rsidR="00914BF4">
              <w:t xml:space="preserve">the </w:t>
            </w:r>
            <w:r>
              <w:t xml:space="preserve">implementation of the baseline study is </w:t>
            </w:r>
            <w:r w:rsidR="00914BF4">
              <w:lastRenderedPageBreak/>
              <w:t>primordial so consultant</w:t>
            </w:r>
            <w:r>
              <w:t xml:space="preserve"> recruitment should have been </w:t>
            </w:r>
            <w:r w:rsidR="00914BF4">
              <w:t xml:space="preserve">done by </w:t>
            </w:r>
            <w:r>
              <w:t>the</w:t>
            </w:r>
            <w:r w:rsidR="00914BF4">
              <w:t xml:space="preserve"> beginning</w:t>
            </w:r>
            <w:r>
              <w:t xml:space="preserve"> of April 2018. It is important to include all the delegations in C/SEE as well as DHA, and to inform </w:t>
            </w:r>
            <w:r w:rsidR="007F6133">
              <w:t xml:space="preserve">as soon as possible </w:t>
            </w:r>
            <w:r>
              <w:t>all stakeholders in Europe on the implications that the indicator will generate.</w:t>
            </w:r>
          </w:p>
        </w:tc>
      </w:tr>
    </w:tbl>
    <w:p w:rsidR="00EE2260" w:rsidRDefault="00EE2260"/>
    <w:sectPr w:rsidR="00EE2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BA" w:rsidRDefault="004B13BA">
      <w:pPr>
        <w:spacing w:after="0" w:line="240" w:lineRule="auto"/>
      </w:pPr>
      <w:r>
        <w:separator/>
      </w:r>
    </w:p>
  </w:endnote>
  <w:endnote w:type="continuationSeparator" w:id="0">
    <w:p w:rsidR="004B13BA" w:rsidRDefault="004B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BA" w:rsidRDefault="004B13BA">
      <w:pPr>
        <w:spacing w:after="0" w:line="240" w:lineRule="auto"/>
      </w:pPr>
      <w:r>
        <w:separator/>
      </w:r>
    </w:p>
  </w:footnote>
  <w:footnote w:type="continuationSeparator" w:id="0">
    <w:p w:rsidR="004B13BA" w:rsidRDefault="004B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60" w:rsidRDefault="00F745F5">
    <w:pPr>
      <w:pStyle w:val="En-tte"/>
      <w:rPr>
        <w:i/>
      </w:rPr>
    </w:pPr>
    <w:r>
      <w:rPr>
        <w:i/>
      </w:rPr>
      <w:tab/>
    </w:r>
    <w:r>
      <w:rPr>
        <w:i/>
      </w:rPr>
      <w:tab/>
    </w:r>
    <w:r>
      <w:rPr>
        <w:i/>
        <w:noProof/>
        <w:lang w:val="en-US"/>
      </w:rPr>
      <w:drawing>
        <wp:inline distT="0" distB="0" distL="0" distR="0" wp14:anchorId="6942159E" wp14:editId="2744320E">
          <wp:extent cx="1619250" cy="282726"/>
          <wp:effectExtent l="0" t="0" r="0" b="3175"/>
          <wp:docPr id="1" name="Image 1" descr="C:\Users\smr\AppData\Local\Temp\notesDA01AE\Logo_Tdh_english_RGB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r\AppData\Local\Temp\notesDA01AE\Logo_Tdh_english_RGB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92" cy="28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59D"/>
    <w:multiLevelType w:val="hybridMultilevel"/>
    <w:tmpl w:val="7BCCC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109"/>
    <w:multiLevelType w:val="hybridMultilevel"/>
    <w:tmpl w:val="881C2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212"/>
    <w:multiLevelType w:val="hybridMultilevel"/>
    <w:tmpl w:val="251E6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4B17"/>
    <w:multiLevelType w:val="hybridMultilevel"/>
    <w:tmpl w:val="F0EAEF64"/>
    <w:lvl w:ilvl="0" w:tplc="6D98E0D4">
      <w:start w:val="1"/>
      <w:numFmt w:val="decimal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6623"/>
    <w:multiLevelType w:val="hybridMultilevel"/>
    <w:tmpl w:val="E28CA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183D"/>
    <w:multiLevelType w:val="hybridMultilevel"/>
    <w:tmpl w:val="2048EC1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0"/>
    <w:rsid w:val="000413D0"/>
    <w:rsid w:val="000F442C"/>
    <w:rsid w:val="000F49BE"/>
    <w:rsid w:val="00132794"/>
    <w:rsid w:val="001A38DC"/>
    <w:rsid w:val="001E20F0"/>
    <w:rsid w:val="00203EE5"/>
    <w:rsid w:val="00205D7B"/>
    <w:rsid w:val="0021740E"/>
    <w:rsid w:val="00247DE2"/>
    <w:rsid w:val="0033796D"/>
    <w:rsid w:val="003513FB"/>
    <w:rsid w:val="003D6994"/>
    <w:rsid w:val="00404843"/>
    <w:rsid w:val="00435811"/>
    <w:rsid w:val="00466F51"/>
    <w:rsid w:val="0049695B"/>
    <w:rsid w:val="004B13BA"/>
    <w:rsid w:val="00503B32"/>
    <w:rsid w:val="00560D13"/>
    <w:rsid w:val="00570DCB"/>
    <w:rsid w:val="005D75E1"/>
    <w:rsid w:val="005E215C"/>
    <w:rsid w:val="0064015D"/>
    <w:rsid w:val="00676BA7"/>
    <w:rsid w:val="006A1BA7"/>
    <w:rsid w:val="006E422D"/>
    <w:rsid w:val="00730E0F"/>
    <w:rsid w:val="007810CC"/>
    <w:rsid w:val="007C5FDA"/>
    <w:rsid w:val="007D24F5"/>
    <w:rsid w:val="007F6133"/>
    <w:rsid w:val="007F7147"/>
    <w:rsid w:val="00914BF4"/>
    <w:rsid w:val="009467E4"/>
    <w:rsid w:val="009505AF"/>
    <w:rsid w:val="00990E07"/>
    <w:rsid w:val="00A227EB"/>
    <w:rsid w:val="00A311AF"/>
    <w:rsid w:val="00AA7507"/>
    <w:rsid w:val="00AB1A4D"/>
    <w:rsid w:val="00B67240"/>
    <w:rsid w:val="00B73478"/>
    <w:rsid w:val="00B964A4"/>
    <w:rsid w:val="00B97470"/>
    <w:rsid w:val="00C06186"/>
    <w:rsid w:val="00C0658E"/>
    <w:rsid w:val="00C26C1A"/>
    <w:rsid w:val="00C35124"/>
    <w:rsid w:val="00C76032"/>
    <w:rsid w:val="00C83216"/>
    <w:rsid w:val="00CD20D9"/>
    <w:rsid w:val="00D96ACA"/>
    <w:rsid w:val="00DD09D6"/>
    <w:rsid w:val="00E058C2"/>
    <w:rsid w:val="00E8468E"/>
    <w:rsid w:val="00E96A95"/>
    <w:rsid w:val="00EA4B41"/>
    <w:rsid w:val="00EA4BA2"/>
    <w:rsid w:val="00EE2260"/>
    <w:rsid w:val="00F514C5"/>
    <w:rsid w:val="00F745F5"/>
    <w:rsid w:val="00FD1AB8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F0"/>
    <w:rPr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1E20F0"/>
    <w:pPr>
      <w:ind w:left="720"/>
      <w:contextualSpacing/>
    </w:pPr>
  </w:style>
  <w:style w:type="paragraph" w:styleId="Sansinterligne">
    <w:name w:val="No Spacing"/>
    <w:uiPriority w:val="1"/>
    <w:qFormat/>
    <w:rsid w:val="001E20F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1E20F0"/>
    <w:pPr>
      <w:spacing w:after="0" w:line="240" w:lineRule="auto"/>
    </w:pPr>
    <w:rPr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20F0"/>
    <w:rPr>
      <w:sz w:val="20"/>
      <w:szCs w:val="20"/>
      <w:lang w:val="en-GB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E2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0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0F0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F0"/>
    <w:rPr>
      <w:rFonts w:ascii="Tahoma" w:hAnsi="Tahoma" w:cs="Tahoma"/>
      <w:sz w:val="16"/>
      <w:szCs w:val="16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0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0F0"/>
    <w:rPr>
      <w:b/>
      <w:bCs/>
      <w:sz w:val="20"/>
      <w:szCs w:val="20"/>
      <w:lang w:val="en-GB"/>
    </w:rPr>
  </w:style>
  <w:style w:type="character" w:customStyle="1" w:styleId="ParagraphedelisteCar">
    <w:name w:val="Paragraphe de liste Car"/>
    <w:link w:val="Paragraphedeliste"/>
    <w:uiPriority w:val="34"/>
    <w:locked/>
    <w:rsid w:val="006E422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D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5E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F0"/>
    <w:rPr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1E20F0"/>
    <w:pPr>
      <w:ind w:left="720"/>
      <w:contextualSpacing/>
    </w:pPr>
  </w:style>
  <w:style w:type="paragraph" w:styleId="Sansinterligne">
    <w:name w:val="No Spacing"/>
    <w:uiPriority w:val="1"/>
    <w:qFormat/>
    <w:rsid w:val="001E20F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1E20F0"/>
    <w:pPr>
      <w:spacing w:after="0" w:line="240" w:lineRule="auto"/>
    </w:pPr>
    <w:rPr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20F0"/>
    <w:rPr>
      <w:sz w:val="20"/>
      <w:szCs w:val="20"/>
      <w:lang w:val="en-GB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E2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0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0F0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F0"/>
    <w:rPr>
      <w:rFonts w:ascii="Tahoma" w:hAnsi="Tahoma" w:cs="Tahoma"/>
      <w:sz w:val="16"/>
      <w:szCs w:val="16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0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0F0"/>
    <w:rPr>
      <w:b/>
      <w:bCs/>
      <w:sz w:val="20"/>
      <w:szCs w:val="20"/>
      <w:lang w:val="en-GB"/>
    </w:rPr>
  </w:style>
  <w:style w:type="character" w:customStyle="1" w:styleId="ParagraphedelisteCar">
    <w:name w:val="Paragraphe de liste Car"/>
    <w:link w:val="Paragraphedeliste"/>
    <w:uiPriority w:val="34"/>
    <w:locked/>
    <w:rsid w:val="006E422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D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3E23-6E91-4AD5-85C1-63A614A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Cazenave</dc:creator>
  <cp:lastModifiedBy>Sophie Mareschal</cp:lastModifiedBy>
  <cp:revision>22</cp:revision>
  <dcterms:created xsi:type="dcterms:W3CDTF">2017-10-18T09:50:00Z</dcterms:created>
  <dcterms:modified xsi:type="dcterms:W3CDTF">2017-11-23T09:53:00Z</dcterms:modified>
</cp:coreProperties>
</file>