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EF" w:rsidRPr="00776BBF" w:rsidRDefault="00776BBF">
      <w:pPr>
        <w:jc w:val="center"/>
        <w:rPr>
          <w:rFonts w:ascii="Calibri" w:eastAsia="Calibri" w:hAnsi="Calibri" w:cs="Times New Roman"/>
          <w:b/>
          <w:color w:val="17365D" w:themeColor="text2" w:themeShade="BF"/>
          <w:sz w:val="24"/>
          <w:lang w:val="en-GB"/>
        </w:rPr>
      </w:pPr>
      <w:proofErr w:type="spellStart"/>
      <w:r w:rsidRPr="00776BBF">
        <w:rPr>
          <w:rFonts w:ascii="Calibri" w:eastAsia="Calibri" w:hAnsi="Calibri" w:cs="Times New Roman"/>
          <w:b/>
          <w:color w:val="17365D" w:themeColor="text2" w:themeShade="BF"/>
          <w:sz w:val="24"/>
          <w:lang w:val="en-GB"/>
        </w:rPr>
        <w:t>Tdh</w:t>
      </w:r>
      <w:proofErr w:type="spellEnd"/>
      <w:r w:rsidRPr="00776BBF">
        <w:rPr>
          <w:rFonts w:ascii="Calibri" w:eastAsia="Calibri" w:hAnsi="Calibri" w:cs="Times New Roman"/>
          <w:b/>
          <w:color w:val="17365D" w:themeColor="text2" w:themeShade="BF"/>
          <w:sz w:val="24"/>
          <w:lang w:val="en-GB"/>
        </w:rPr>
        <w:t xml:space="preserve"> Contribution Program 2017-2020 / Strategic Plan 2016-2020</w:t>
      </w:r>
    </w:p>
    <w:p w:rsidR="00CB52EF" w:rsidRPr="00776BBF" w:rsidRDefault="00776BBF">
      <w:pPr>
        <w:jc w:val="center"/>
        <w:rPr>
          <w:rFonts w:ascii="Calibri" w:eastAsia="Calibri" w:hAnsi="Calibri" w:cs="Times New Roman"/>
          <w:b/>
          <w:color w:val="17365D" w:themeColor="text2" w:themeShade="BF"/>
          <w:sz w:val="32"/>
          <w:lang w:val="en-GB"/>
        </w:rPr>
      </w:pPr>
      <w:r w:rsidRPr="00776BBF">
        <w:rPr>
          <w:rFonts w:ascii="Calibri" w:eastAsia="Calibri" w:hAnsi="Calibri" w:cs="Times New Roman"/>
          <w:b/>
          <w:color w:val="17365D" w:themeColor="text2" w:themeShade="BF"/>
          <w:sz w:val="24"/>
          <w:lang w:val="en-GB"/>
        </w:rPr>
        <w:t>Program Indicators</w:t>
      </w:r>
    </w:p>
    <w:p w:rsidR="00CB52EF" w:rsidRPr="00776BBF" w:rsidRDefault="00CB52EF">
      <w:pPr>
        <w:jc w:val="center"/>
        <w:rPr>
          <w:rFonts w:ascii="Calibri" w:eastAsia="Calibri" w:hAnsi="Calibri" w:cs="Times New Roman"/>
          <w:b/>
          <w:lang w:val="en-GB"/>
        </w:rPr>
      </w:pPr>
    </w:p>
    <w:p w:rsidR="00CB52EF" w:rsidRPr="00776BBF" w:rsidRDefault="00776BBF">
      <w:pPr>
        <w:rPr>
          <w:rFonts w:ascii="Calibri" w:eastAsia="Calibri" w:hAnsi="Calibri" w:cs="Times New Roman"/>
          <w:b/>
          <w:lang w:val="en-GB"/>
        </w:rPr>
      </w:pPr>
      <w:r w:rsidRPr="00776BBF">
        <w:rPr>
          <w:rFonts w:ascii="Calibri" w:eastAsia="Calibri" w:hAnsi="Calibri" w:cs="Times New Roman"/>
          <w:b/>
          <w:lang w:val="en-GB"/>
        </w:rPr>
        <w:t xml:space="preserve">[Program] </w:t>
      </w:r>
      <w:r w:rsidRPr="00776BBF">
        <w:rPr>
          <w:rFonts w:ascii="Calibri" w:eastAsia="Calibri" w:hAnsi="Calibri" w:cs="Times New Roman"/>
          <w:lang w:val="en-GB"/>
        </w:rPr>
        <w:t>Juvenile Justice</w:t>
      </w:r>
    </w:p>
    <w:p w:rsidR="00CB52EF" w:rsidRPr="00776BBF" w:rsidRDefault="00776BBF">
      <w:pPr>
        <w:jc w:val="both"/>
        <w:rPr>
          <w:rFonts w:ascii="Calibri" w:eastAsia="Calibri" w:hAnsi="Calibri" w:cs="Arial"/>
          <w:lang w:val="en-GB"/>
        </w:rPr>
      </w:pPr>
      <w:r w:rsidRPr="00776BBF">
        <w:rPr>
          <w:rFonts w:ascii="Calibri" w:eastAsia="Calibri" w:hAnsi="Calibri" w:cs="Times New Roman"/>
          <w:b/>
          <w:lang w:val="en-GB"/>
        </w:rPr>
        <w:t xml:space="preserve">[Result] RA 2.1 </w:t>
      </w:r>
      <w:r w:rsidRPr="00776BBF">
        <w:rPr>
          <w:lang w:val="en-GB"/>
        </w:rPr>
        <w:t>By 2020, internationally and in many parts of the world, the actors involved in juvenile justice took and/or have implemented decisions that enhance the restorative approach and contribute to promoting children's access to appropriate justice, fighting violence against children in juvenile justice systems, increasing the rate of children benefiting from non-freedom-denying measures and strengthening the role and participation of children in their families and the community.</w:t>
      </w:r>
    </w:p>
    <w:p w:rsidR="00CB52EF" w:rsidRPr="00776BBF" w:rsidRDefault="00CB52EF">
      <w:pPr>
        <w:rPr>
          <w:rFonts w:ascii="Calibri" w:eastAsia="Calibri" w:hAnsi="Calibri" w:cs="Times New Roman"/>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3"/>
        <w:gridCol w:w="6877"/>
      </w:tblGrid>
      <w:tr w:rsidR="00CB52EF" w:rsidRPr="00E32616">
        <w:tc>
          <w:tcPr>
            <w:tcW w:w="230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CB52EF" w:rsidRPr="00776BBF" w:rsidRDefault="00776BBF">
            <w:pPr>
              <w:tabs>
                <w:tab w:val="left" w:pos="3960"/>
              </w:tabs>
              <w:spacing w:after="120" w:line="240" w:lineRule="auto"/>
              <w:rPr>
                <w:rFonts w:ascii="Calibri" w:eastAsia="Calibri" w:hAnsi="Calibri" w:cs="Calibri"/>
                <w:b/>
                <w:sz w:val="20"/>
                <w:lang w:val="en-GB"/>
              </w:rPr>
            </w:pPr>
            <w:r w:rsidRPr="00776BBF">
              <w:rPr>
                <w:rFonts w:ascii="Calibri" w:eastAsia="Calibri" w:hAnsi="Calibri" w:cs="Calibri"/>
                <w:b/>
                <w:sz w:val="20"/>
                <w:lang w:val="en-GB"/>
              </w:rPr>
              <w:t>Indicator (Title)</w:t>
            </w:r>
          </w:p>
        </w:tc>
        <w:tc>
          <w:tcPr>
            <w:tcW w:w="68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B52EF" w:rsidRPr="00776BBF" w:rsidRDefault="00776BBF">
            <w:pPr>
              <w:spacing w:after="0"/>
              <w:rPr>
                <w:sz w:val="20"/>
                <w:lang w:val="en-GB"/>
              </w:rPr>
            </w:pPr>
            <w:r w:rsidRPr="00776BBF">
              <w:rPr>
                <w:sz w:val="20"/>
                <w:lang w:val="en-GB"/>
              </w:rPr>
              <w:t xml:space="preserve">2.1 Number of policies, </w:t>
            </w:r>
            <w:r w:rsidR="00E32616">
              <w:rPr>
                <w:sz w:val="20"/>
                <w:lang w:val="en-GB"/>
              </w:rPr>
              <w:t>norms</w:t>
            </w:r>
            <w:bookmarkStart w:id="0" w:name="_GoBack"/>
            <w:bookmarkEnd w:id="0"/>
            <w:r w:rsidRPr="00776BBF">
              <w:rPr>
                <w:sz w:val="20"/>
                <w:lang w:val="en-GB"/>
              </w:rPr>
              <w:t xml:space="preserve">, and procedures that have been built </w:t>
            </w:r>
            <w:r w:rsidR="00E32616" w:rsidRPr="00E32616">
              <w:rPr>
                <w:sz w:val="20"/>
                <w:lang w:val="en-GB"/>
              </w:rPr>
              <w:t>up (enacted, modified or abrogated) [in line with JJR principles]</w:t>
            </w:r>
            <w:r w:rsidR="00E32616" w:rsidRPr="00E32616">
              <w:rPr>
                <w:sz w:val="20"/>
                <w:lang w:val="en-GB"/>
              </w:rPr>
              <w:t xml:space="preserve">) </w:t>
            </w:r>
            <w:r w:rsidRPr="00776BBF">
              <w:rPr>
                <w:sz w:val="20"/>
                <w:lang w:val="en-GB"/>
              </w:rPr>
              <w:t xml:space="preserve">with the direct technical support of </w:t>
            </w:r>
            <w:proofErr w:type="spellStart"/>
            <w:r w:rsidRPr="00776BBF">
              <w:rPr>
                <w:sz w:val="20"/>
                <w:lang w:val="en-GB"/>
              </w:rPr>
              <w:t>Tdh</w:t>
            </w:r>
            <w:proofErr w:type="spellEnd"/>
            <w:r w:rsidRPr="00776BBF">
              <w:rPr>
                <w:sz w:val="20"/>
                <w:lang w:val="en-GB"/>
              </w:rPr>
              <w:t xml:space="preserve"> </w:t>
            </w:r>
            <w:r w:rsidRPr="00776BBF">
              <w:rPr>
                <w:color w:val="1F497D" w:themeColor="text2"/>
                <w:sz w:val="20"/>
                <w:lang w:val="en-GB"/>
              </w:rPr>
              <w:t xml:space="preserve">[in the field of restorative juvenile justice and the international norms and standards for children's rights] </w:t>
            </w:r>
            <w:r w:rsidRPr="00776BBF">
              <w:rPr>
                <w:sz w:val="20"/>
                <w:lang w:val="en-GB"/>
              </w:rPr>
              <w:t>and validated by the competent authorities</w:t>
            </w:r>
          </w:p>
          <w:p w:rsidR="00CB52EF" w:rsidRPr="00776BBF" w:rsidRDefault="00CB52EF">
            <w:pPr>
              <w:spacing w:after="0"/>
              <w:rPr>
                <w:sz w:val="20"/>
                <w:lang w:val="en-GB"/>
              </w:rPr>
            </w:pPr>
          </w:p>
          <w:p w:rsidR="00CB52EF" w:rsidRPr="00776BBF" w:rsidRDefault="00776BBF">
            <w:pPr>
              <w:spacing w:after="0"/>
              <w:rPr>
                <w:sz w:val="20"/>
                <w:lang w:val="en-GB"/>
              </w:rPr>
            </w:pPr>
            <w:r w:rsidRPr="00776BBF">
              <w:rPr>
                <w:sz w:val="20"/>
                <w:lang w:val="en-GB"/>
              </w:rPr>
              <w:t>"RJJ policies, legislation and procedures"</w:t>
            </w:r>
          </w:p>
        </w:tc>
      </w:tr>
      <w:tr w:rsidR="00CB52EF" w:rsidRPr="00E32616">
        <w:tc>
          <w:tcPr>
            <w:tcW w:w="230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CB52EF" w:rsidRPr="00776BBF" w:rsidRDefault="00776BBF">
            <w:pPr>
              <w:tabs>
                <w:tab w:val="left" w:pos="3960"/>
              </w:tabs>
              <w:spacing w:after="120" w:line="240" w:lineRule="auto"/>
              <w:rPr>
                <w:rFonts w:ascii="Calibri" w:eastAsia="Calibri" w:hAnsi="Calibri" w:cs="Calibri"/>
                <w:b/>
                <w:sz w:val="20"/>
                <w:lang w:val="en-GB"/>
              </w:rPr>
            </w:pPr>
            <w:r w:rsidRPr="00776BBF">
              <w:rPr>
                <w:rFonts w:ascii="Calibri" w:eastAsia="Calibri" w:hAnsi="Calibri" w:cs="Calibri"/>
                <w:b/>
                <w:sz w:val="20"/>
                <w:lang w:val="en-GB"/>
              </w:rPr>
              <w:t>Definition</w:t>
            </w:r>
          </w:p>
        </w:tc>
        <w:tc>
          <w:tcPr>
            <w:tcW w:w="68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B52EF" w:rsidRPr="00776BBF" w:rsidRDefault="009E32FD">
            <w:pPr>
              <w:spacing w:after="0"/>
              <w:rPr>
                <w:sz w:val="20"/>
                <w:lang w:val="en-GB"/>
              </w:rPr>
            </w:pPr>
            <w:r w:rsidRPr="00776BBF">
              <w:rPr>
                <w:b/>
                <w:sz w:val="20"/>
                <w:lang w:val="en-GB"/>
              </w:rPr>
              <w:t>Policy</w:t>
            </w:r>
            <w:r w:rsidRPr="00776BBF">
              <w:rPr>
                <w:sz w:val="20"/>
                <w:lang w:val="en-GB"/>
              </w:rPr>
              <w:t>:</w:t>
            </w:r>
            <w:r w:rsidR="00776BBF" w:rsidRPr="00776BBF">
              <w:rPr>
                <w:sz w:val="20"/>
                <w:lang w:val="en-GB"/>
              </w:rPr>
              <w:t xml:space="preserve"> </w:t>
            </w:r>
            <w:r w:rsidR="00776BBF" w:rsidRPr="00776BBF">
              <w:rPr>
                <w:sz w:val="20"/>
                <w:u w:val="single"/>
                <w:lang w:val="en-GB"/>
              </w:rPr>
              <w:t>public</w:t>
            </w:r>
            <w:r w:rsidR="00776BBF" w:rsidRPr="00776BBF">
              <w:rPr>
                <w:sz w:val="20"/>
                <w:lang w:val="en-GB"/>
              </w:rPr>
              <w:t xml:space="preserve"> policy document setting a framework for the relevant authorities in the [in the field of restorative juvenile justice and standards and international standards on children's rights], etc. (for example, Children's Code, Penal Policy, Law applying non-freedom-denying measures, prison law, etc.).</w:t>
            </w:r>
          </w:p>
          <w:p w:rsidR="00CB52EF" w:rsidRPr="00776BBF" w:rsidRDefault="009E32FD">
            <w:pPr>
              <w:spacing w:after="0"/>
              <w:rPr>
                <w:sz w:val="20"/>
                <w:lang w:val="en-GB"/>
              </w:rPr>
            </w:pPr>
            <w:r w:rsidRPr="00776BBF">
              <w:rPr>
                <w:b/>
                <w:sz w:val="20"/>
                <w:lang w:val="en-GB"/>
              </w:rPr>
              <w:t>Legislation</w:t>
            </w:r>
            <w:r w:rsidRPr="00776BBF">
              <w:rPr>
                <w:sz w:val="20"/>
                <w:lang w:val="en-GB"/>
              </w:rPr>
              <w:t>:</w:t>
            </w:r>
            <w:r w:rsidR="00776BBF" w:rsidRPr="00776BBF">
              <w:rPr>
                <w:sz w:val="20"/>
                <w:lang w:val="en-GB"/>
              </w:rPr>
              <w:t xml:space="preserve"> In the broadest sense, laws enacted, whether they are of parliamentary origin (law in the strict sense) or not (directive, regulations, orders, decrees)</w:t>
            </w:r>
            <w:r w:rsidR="00776BBF" w:rsidRPr="00776BBF">
              <w:rPr>
                <w:rStyle w:val="Appelnotedebasdep"/>
                <w:sz w:val="20"/>
                <w:lang w:val="en-GB"/>
              </w:rPr>
              <w:footnoteReference w:id="1"/>
            </w:r>
            <w:r w:rsidR="00776BBF" w:rsidRPr="00776BBF">
              <w:rPr>
                <w:sz w:val="20"/>
                <w:lang w:val="en-GB"/>
              </w:rPr>
              <w:t xml:space="preserve">. </w:t>
            </w:r>
          </w:p>
          <w:p w:rsidR="00CB52EF" w:rsidRPr="00776BBF" w:rsidRDefault="00776BBF">
            <w:pPr>
              <w:spacing w:after="0"/>
              <w:rPr>
                <w:sz w:val="20"/>
                <w:lang w:val="en-GB"/>
              </w:rPr>
            </w:pPr>
            <w:r w:rsidRPr="00776BBF">
              <w:rPr>
                <w:b/>
                <w:sz w:val="20"/>
                <w:lang w:val="en-GB"/>
              </w:rPr>
              <w:t>Procedure</w:t>
            </w:r>
            <w:r w:rsidRPr="00776BBF">
              <w:rPr>
                <w:sz w:val="20"/>
                <w:lang w:val="en-GB"/>
              </w:rPr>
              <w:t>: technical document defining the stages, roles, and conditions for implementing legislation or policies. In general, a procedure is applicable to a body (ex: the legal body), a profession (ex: magistrates), an institution (ex: prison), or a specific legal mechanism (ex: juvenile criminal procedure).</w:t>
            </w:r>
          </w:p>
          <w:p w:rsidR="00CB52EF" w:rsidRPr="00776BBF" w:rsidRDefault="00776BBF">
            <w:pPr>
              <w:spacing w:after="0"/>
              <w:rPr>
                <w:sz w:val="20"/>
                <w:lang w:val="en-GB"/>
              </w:rPr>
            </w:pPr>
            <w:r w:rsidRPr="00776BBF">
              <w:rPr>
                <w:b/>
                <w:sz w:val="20"/>
                <w:lang w:val="en-GB"/>
              </w:rPr>
              <w:t xml:space="preserve">Direct technical support from </w:t>
            </w:r>
            <w:proofErr w:type="spellStart"/>
            <w:r w:rsidRPr="00776BBF">
              <w:rPr>
                <w:b/>
                <w:sz w:val="20"/>
                <w:lang w:val="en-GB"/>
              </w:rPr>
              <w:t>Tdh</w:t>
            </w:r>
            <w:proofErr w:type="spellEnd"/>
            <w:r w:rsidRPr="00776BBF">
              <w:rPr>
                <w:sz w:val="20"/>
                <w:lang w:val="en-GB"/>
              </w:rPr>
              <w:t xml:space="preserve">: any intervention by </w:t>
            </w:r>
            <w:proofErr w:type="spellStart"/>
            <w:r w:rsidRPr="00776BBF">
              <w:rPr>
                <w:sz w:val="20"/>
                <w:lang w:val="en-GB"/>
              </w:rPr>
              <w:t>Tdh</w:t>
            </w:r>
            <w:proofErr w:type="spellEnd"/>
            <w:r w:rsidRPr="00776BBF">
              <w:rPr>
                <w:sz w:val="20"/>
                <w:lang w:val="en-GB"/>
              </w:rPr>
              <w:t xml:space="preserve"> personnel or by a consultant commissioned by </w:t>
            </w:r>
            <w:proofErr w:type="spellStart"/>
            <w:r w:rsidRPr="00776BBF">
              <w:rPr>
                <w:sz w:val="20"/>
                <w:lang w:val="en-GB"/>
              </w:rPr>
              <w:t>Tdh</w:t>
            </w:r>
            <w:proofErr w:type="spellEnd"/>
            <w:r w:rsidRPr="00776BBF">
              <w:rPr>
                <w:sz w:val="20"/>
                <w:lang w:val="en-GB"/>
              </w:rPr>
              <w:t xml:space="preserve"> in revision, advising, or positioning that results in more consideration for children's rights, international norms and standards, best practices, or common sense in the field of juvenile justice or protection for childhood.</w:t>
            </w:r>
          </w:p>
          <w:p w:rsidR="00CB52EF" w:rsidRPr="00776BBF" w:rsidRDefault="00776BBF">
            <w:pPr>
              <w:spacing w:after="0"/>
              <w:rPr>
                <w:sz w:val="20"/>
                <w:lang w:val="en-GB"/>
              </w:rPr>
            </w:pPr>
            <w:r w:rsidRPr="00776BBF">
              <w:rPr>
                <w:b/>
                <w:sz w:val="20"/>
                <w:lang w:val="en-GB"/>
              </w:rPr>
              <w:t xml:space="preserve">Validated by the competent </w:t>
            </w:r>
            <w:r w:rsidR="009E32FD" w:rsidRPr="00776BBF">
              <w:rPr>
                <w:b/>
                <w:sz w:val="20"/>
                <w:lang w:val="en-GB"/>
              </w:rPr>
              <w:t>authorities</w:t>
            </w:r>
            <w:r w:rsidR="009E32FD" w:rsidRPr="00776BBF">
              <w:rPr>
                <w:sz w:val="20"/>
                <w:lang w:val="en-GB"/>
              </w:rPr>
              <w:t>:</w:t>
            </w:r>
            <w:r w:rsidRPr="00776BBF">
              <w:rPr>
                <w:sz w:val="20"/>
                <w:lang w:val="en-GB"/>
              </w:rPr>
              <w:t xml:space="preserve"> to be counted, the policy, legislation, or procedure must have entered into force, i.e. must have become applicable.</w:t>
            </w:r>
          </w:p>
          <w:p w:rsidR="00CB52EF" w:rsidRPr="00776BBF" w:rsidRDefault="00CB52EF">
            <w:pPr>
              <w:spacing w:after="0"/>
              <w:rPr>
                <w:sz w:val="20"/>
                <w:lang w:val="en-GB"/>
              </w:rPr>
            </w:pPr>
          </w:p>
        </w:tc>
      </w:tr>
      <w:tr w:rsidR="00CB52EF" w:rsidRPr="00E32616">
        <w:tc>
          <w:tcPr>
            <w:tcW w:w="230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CB52EF" w:rsidRPr="00776BBF" w:rsidRDefault="00776BBF">
            <w:pPr>
              <w:tabs>
                <w:tab w:val="left" w:pos="3960"/>
              </w:tabs>
              <w:spacing w:after="120" w:line="240" w:lineRule="auto"/>
              <w:rPr>
                <w:rFonts w:ascii="Calibri" w:eastAsia="Calibri" w:hAnsi="Calibri" w:cs="Calibri"/>
                <w:b/>
                <w:sz w:val="20"/>
                <w:lang w:val="en-GB"/>
              </w:rPr>
            </w:pPr>
            <w:r w:rsidRPr="00776BBF">
              <w:rPr>
                <w:rFonts w:ascii="Calibri" w:eastAsia="Calibri" w:hAnsi="Calibri" w:cs="Calibri"/>
                <w:b/>
                <w:sz w:val="20"/>
                <w:lang w:val="en-GB"/>
              </w:rPr>
              <w:t xml:space="preserve">What it measures </w:t>
            </w:r>
          </w:p>
          <w:p w:rsidR="00CB52EF" w:rsidRPr="00776BBF" w:rsidRDefault="00776BBF">
            <w:pPr>
              <w:tabs>
                <w:tab w:val="left" w:pos="3960"/>
              </w:tabs>
              <w:spacing w:after="120" w:line="240" w:lineRule="auto"/>
              <w:rPr>
                <w:rFonts w:ascii="Calibri" w:eastAsia="Calibri" w:hAnsi="Calibri" w:cs="Calibri"/>
                <w:b/>
                <w:sz w:val="20"/>
                <w:lang w:val="en-GB"/>
              </w:rPr>
            </w:pPr>
            <w:r w:rsidRPr="00776BBF">
              <w:rPr>
                <w:rFonts w:ascii="Arial" w:hAnsi="Arial" w:cs="Arial"/>
                <w:noProof/>
                <w:sz w:val="20"/>
                <w:lang w:val="en-US"/>
              </w:rPr>
              <w:lastRenderedPageBreak/>
              <w:drawing>
                <wp:inline distT="0" distB="0" distL="0" distR="0" wp14:anchorId="2ABBCA17" wp14:editId="014494B9">
                  <wp:extent cx="486000" cy="486000"/>
                  <wp:effectExtent l="0" t="0" r="9525" b="952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DG 16 Peace, Justice and strong institution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86000" cy="486000"/>
                          </a:xfrm>
                          <a:prstGeom prst="rect">
                            <a:avLst/>
                          </a:prstGeom>
                        </pic:spPr>
                      </pic:pic>
                    </a:graphicData>
                  </a:graphic>
                </wp:inline>
              </w:drawing>
            </w:r>
          </w:p>
          <w:p w:rsidR="00CB52EF" w:rsidRPr="00776BBF" w:rsidRDefault="00CB52EF">
            <w:pPr>
              <w:tabs>
                <w:tab w:val="left" w:pos="3960"/>
              </w:tabs>
              <w:spacing w:after="120" w:line="240" w:lineRule="auto"/>
              <w:rPr>
                <w:rFonts w:ascii="Calibri" w:eastAsia="Calibri" w:hAnsi="Calibri" w:cs="Calibri"/>
                <w:b/>
                <w:sz w:val="20"/>
                <w:lang w:val="en-GB"/>
              </w:rPr>
            </w:pPr>
          </w:p>
        </w:tc>
        <w:tc>
          <w:tcPr>
            <w:tcW w:w="68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B52EF" w:rsidRPr="00776BBF" w:rsidRDefault="00776BBF">
            <w:pPr>
              <w:spacing w:after="0"/>
              <w:rPr>
                <w:sz w:val="20"/>
                <w:lang w:val="en-GB"/>
              </w:rPr>
            </w:pPr>
            <w:r w:rsidRPr="00776BBF">
              <w:rPr>
                <w:sz w:val="20"/>
                <w:lang w:val="en-GB"/>
              </w:rPr>
              <w:lastRenderedPageBreak/>
              <w:t xml:space="preserve">The indicator measures changes in institutional terms, as part of Vision 2030, the 2017-2020 Strategy and RJJ policy.  It reflects the contribution of </w:t>
            </w:r>
            <w:proofErr w:type="spellStart"/>
            <w:r w:rsidRPr="00776BBF">
              <w:rPr>
                <w:sz w:val="20"/>
                <w:lang w:val="en-GB"/>
              </w:rPr>
              <w:t>Tdh</w:t>
            </w:r>
            <w:proofErr w:type="spellEnd"/>
            <w:r w:rsidRPr="00776BBF">
              <w:rPr>
                <w:sz w:val="20"/>
                <w:lang w:val="en-GB"/>
              </w:rPr>
              <w:t xml:space="preserve"> to changes in the political-legal framework and partially measures the degree of </w:t>
            </w:r>
            <w:r w:rsidRPr="00776BBF">
              <w:rPr>
                <w:sz w:val="20"/>
                <w:lang w:val="en-GB"/>
              </w:rPr>
              <w:lastRenderedPageBreak/>
              <w:t>institutionalization of restorative juvenile justice concepts and standards and international standards on the rights of the child.  This indicator, put into perspective with training indicators and change of practices indicators (</w:t>
            </w:r>
            <w:r w:rsidR="009E32FD">
              <w:rPr>
                <w:sz w:val="20"/>
                <w:lang w:val="en-GB"/>
              </w:rPr>
              <w:t xml:space="preserve">e.g. indicator </w:t>
            </w:r>
            <w:r w:rsidRPr="00776BBF">
              <w:rPr>
                <w:sz w:val="20"/>
                <w:lang w:val="en-GB"/>
              </w:rPr>
              <w:t xml:space="preserve">on </w:t>
            </w:r>
            <w:r w:rsidR="009E32FD">
              <w:rPr>
                <w:sz w:val="20"/>
                <w:lang w:val="en-GB"/>
              </w:rPr>
              <w:t xml:space="preserve">diversion </w:t>
            </w:r>
            <w:r w:rsidRPr="00776BBF">
              <w:rPr>
                <w:sz w:val="20"/>
                <w:lang w:val="en-GB"/>
              </w:rPr>
              <w:t>measures), will analyse the progress of institutions in the ownership of the international standards for JJ.</w:t>
            </w:r>
          </w:p>
          <w:p w:rsidR="00CB52EF" w:rsidRPr="00776BBF" w:rsidRDefault="00CB52EF">
            <w:pPr>
              <w:spacing w:after="0"/>
              <w:rPr>
                <w:sz w:val="20"/>
                <w:lang w:val="en-GB"/>
              </w:rPr>
            </w:pPr>
          </w:p>
          <w:p w:rsidR="00CB52EF" w:rsidRPr="00776BBF" w:rsidRDefault="00776BBF">
            <w:pPr>
              <w:spacing w:after="0"/>
              <w:rPr>
                <w:sz w:val="20"/>
                <w:lang w:val="en-GB"/>
              </w:rPr>
            </w:pPr>
            <w:r w:rsidRPr="00776BBF">
              <w:rPr>
                <w:sz w:val="20"/>
                <w:lang w:val="en-GB"/>
              </w:rPr>
              <w:t>Limit: the validation of a policy, legislation, or procedure does imply its implementation!  It also does not speak to the quality of implementation or the impact on children.</w:t>
            </w:r>
          </w:p>
          <w:p w:rsidR="00CB52EF" w:rsidRPr="00776BBF" w:rsidRDefault="00CB52EF">
            <w:pPr>
              <w:spacing w:after="0"/>
              <w:rPr>
                <w:sz w:val="20"/>
                <w:lang w:val="en-GB"/>
              </w:rPr>
            </w:pPr>
          </w:p>
        </w:tc>
      </w:tr>
      <w:tr w:rsidR="00CB52EF" w:rsidRPr="00776BBF">
        <w:tc>
          <w:tcPr>
            <w:tcW w:w="230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CB52EF" w:rsidRPr="00776BBF" w:rsidRDefault="00776BBF">
            <w:pPr>
              <w:tabs>
                <w:tab w:val="left" w:pos="3960"/>
              </w:tabs>
              <w:spacing w:after="120" w:line="240" w:lineRule="auto"/>
              <w:rPr>
                <w:rFonts w:ascii="Calibri" w:eastAsia="Calibri" w:hAnsi="Calibri" w:cs="Calibri"/>
                <w:b/>
                <w:sz w:val="20"/>
                <w:lang w:val="en-GB"/>
              </w:rPr>
            </w:pPr>
            <w:r w:rsidRPr="00776BBF">
              <w:rPr>
                <w:rFonts w:ascii="Calibri" w:eastAsia="Calibri" w:hAnsi="Calibri" w:cs="Calibri"/>
                <w:b/>
                <w:sz w:val="20"/>
                <w:lang w:val="en-GB"/>
              </w:rPr>
              <w:lastRenderedPageBreak/>
              <w:t xml:space="preserve">Unity and </w:t>
            </w:r>
            <w:r w:rsidR="008254AA">
              <w:rPr>
                <w:rFonts w:ascii="Calibri" w:eastAsia="Calibri" w:hAnsi="Calibri" w:cs="Calibri"/>
                <w:b/>
                <w:sz w:val="20"/>
                <w:lang w:val="en-GB"/>
              </w:rPr>
              <w:t>disaggregation</w:t>
            </w:r>
            <w:r w:rsidR="001D4D7C">
              <w:rPr>
                <w:rFonts w:ascii="Calibri" w:eastAsia="Calibri" w:hAnsi="Calibri" w:cs="Calibri"/>
                <w:b/>
                <w:sz w:val="20"/>
                <w:lang w:val="en-GB"/>
              </w:rPr>
              <w:t xml:space="preserve"> </w:t>
            </w:r>
            <w:r w:rsidRPr="00776BBF">
              <w:rPr>
                <w:rFonts w:ascii="Calibri" w:eastAsia="Calibri" w:hAnsi="Calibri" w:cs="Calibri"/>
                <w:b/>
                <w:sz w:val="20"/>
                <w:lang w:val="en-GB"/>
              </w:rPr>
              <w:t xml:space="preserve"> </w:t>
            </w:r>
          </w:p>
        </w:tc>
        <w:tc>
          <w:tcPr>
            <w:tcW w:w="68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B52EF" w:rsidRPr="00776BBF" w:rsidRDefault="00776BBF">
            <w:pPr>
              <w:spacing w:after="0"/>
              <w:rPr>
                <w:sz w:val="20"/>
                <w:lang w:val="en-GB"/>
              </w:rPr>
            </w:pPr>
            <w:r w:rsidRPr="00776BBF">
              <w:rPr>
                <w:sz w:val="20"/>
                <w:lang w:val="en-GB"/>
              </w:rPr>
              <w:t>Unity is the number, disintegration is by type / level of change:</w:t>
            </w:r>
          </w:p>
          <w:p w:rsidR="00CB52EF" w:rsidRPr="00776BBF" w:rsidRDefault="00776BBF">
            <w:pPr>
              <w:pStyle w:val="Paragraphedeliste"/>
              <w:numPr>
                <w:ilvl w:val="0"/>
                <w:numId w:val="2"/>
              </w:numPr>
              <w:spacing w:after="0"/>
              <w:rPr>
                <w:sz w:val="20"/>
                <w:lang w:val="en-GB"/>
              </w:rPr>
            </w:pPr>
            <w:r w:rsidRPr="00776BBF">
              <w:rPr>
                <w:sz w:val="20"/>
                <w:lang w:val="en-GB"/>
              </w:rPr>
              <w:t>Policy</w:t>
            </w:r>
          </w:p>
          <w:p w:rsidR="00CB52EF" w:rsidRPr="00776BBF" w:rsidRDefault="00776BBF">
            <w:pPr>
              <w:pStyle w:val="Paragraphedeliste"/>
              <w:numPr>
                <w:ilvl w:val="0"/>
                <w:numId w:val="2"/>
              </w:numPr>
              <w:spacing w:after="0"/>
              <w:rPr>
                <w:sz w:val="20"/>
                <w:lang w:val="en-GB"/>
              </w:rPr>
            </w:pPr>
            <w:r w:rsidRPr="00776BBF">
              <w:rPr>
                <w:sz w:val="20"/>
                <w:lang w:val="en-GB"/>
              </w:rPr>
              <w:t>Legislation</w:t>
            </w:r>
          </w:p>
          <w:p w:rsidR="00CB52EF" w:rsidRPr="00776BBF" w:rsidRDefault="00776BBF">
            <w:pPr>
              <w:pStyle w:val="Paragraphedeliste"/>
              <w:numPr>
                <w:ilvl w:val="0"/>
                <w:numId w:val="2"/>
              </w:numPr>
              <w:spacing w:after="0"/>
              <w:rPr>
                <w:sz w:val="20"/>
                <w:lang w:val="en-GB"/>
              </w:rPr>
            </w:pPr>
            <w:r w:rsidRPr="00776BBF">
              <w:rPr>
                <w:sz w:val="20"/>
                <w:lang w:val="en-GB"/>
              </w:rPr>
              <w:t>Procedure</w:t>
            </w:r>
          </w:p>
          <w:p w:rsidR="00CB52EF" w:rsidRPr="00776BBF" w:rsidRDefault="00CB52EF">
            <w:pPr>
              <w:spacing w:after="0"/>
              <w:rPr>
                <w:sz w:val="20"/>
                <w:lang w:val="en-GB"/>
              </w:rPr>
            </w:pPr>
          </w:p>
        </w:tc>
      </w:tr>
      <w:tr w:rsidR="00CB52EF" w:rsidRPr="00E32616">
        <w:tc>
          <w:tcPr>
            <w:tcW w:w="230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CB52EF" w:rsidRPr="00776BBF" w:rsidRDefault="00776BBF">
            <w:pPr>
              <w:tabs>
                <w:tab w:val="left" w:pos="3960"/>
              </w:tabs>
              <w:spacing w:after="120" w:line="240" w:lineRule="auto"/>
              <w:rPr>
                <w:rFonts w:ascii="Calibri" w:eastAsia="Calibri" w:hAnsi="Calibri" w:cs="Calibri"/>
                <w:b/>
                <w:sz w:val="20"/>
                <w:lang w:val="en-GB"/>
              </w:rPr>
            </w:pPr>
            <w:r w:rsidRPr="00776BBF">
              <w:rPr>
                <w:rFonts w:ascii="Calibri" w:eastAsia="Calibri" w:hAnsi="Calibri" w:cs="Calibri"/>
                <w:b/>
                <w:sz w:val="20"/>
                <w:lang w:val="en-GB"/>
              </w:rPr>
              <w:t>Calculation mode</w:t>
            </w:r>
          </w:p>
        </w:tc>
        <w:tc>
          <w:tcPr>
            <w:tcW w:w="68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B52EF" w:rsidRPr="00776BBF" w:rsidRDefault="00776BBF">
            <w:pPr>
              <w:spacing w:after="0"/>
              <w:rPr>
                <w:sz w:val="20"/>
                <w:lang w:val="en-GB"/>
              </w:rPr>
            </w:pPr>
            <w:r w:rsidRPr="00776BBF">
              <w:rPr>
                <w:sz w:val="20"/>
                <w:lang w:val="en-GB"/>
              </w:rPr>
              <w:t xml:space="preserve">The total number of policies, laws, and procedures that have been built with the direct technical support of </w:t>
            </w:r>
            <w:proofErr w:type="spellStart"/>
            <w:r w:rsidRPr="00776BBF">
              <w:rPr>
                <w:sz w:val="20"/>
                <w:lang w:val="en-GB"/>
              </w:rPr>
              <w:t>Tdh</w:t>
            </w:r>
            <w:proofErr w:type="spellEnd"/>
            <w:r w:rsidRPr="00776BBF">
              <w:rPr>
                <w:sz w:val="20"/>
                <w:lang w:val="en-GB"/>
              </w:rPr>
              <w:t xml:space="preserve"> and validated by the competent authorities during the reporting period is totalled to form a half-year figure.</w:t>
            </w:r>
          </w:p>
        </w:tc>
      </w:tr>
      <w:tr w:rsidR="00CB52EF" w:rsidRPr="00E32616">
        <w:tc>
          <w:tcPr>
            <w:tcW w:w="230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CB52EF" w:rsidRPr="00776BBF" w:rsidRDefault="00776BBF">
            <w:pPr>
              <w:tabs>
                <w:tab w:val="left" w:pos="3960"/>
              </w:tabs>
              <w:spacing w:after="120" w:line="240" w:lineRule="auto"/>
              <w:rPr>
                <w:rFonts w:ascii="Calibri" w:eastAsia="Calibri" w:hAnsi="Calibri" w:cs="Calibri"/>
                <w:b/>
                <w:sz w:val="20"/>
                <w:lang w:val="en-GB"/>
              </w:rPr>
            </w:pPr>
            <w:r w:rsidRPr="00776BBF">
              <w:rPr>
                <w:rFonts w:ascii="Calibri" w:eastAsia="Calibri" w:hAnsi="Calibri" w:cs="Calibri"/>
                <w:b/>
                <w:sz w:val="20"/>
                <w:lang w:val="en-GB"/>
              </w:rPr>
              <w:t xml:space="preserve">Baseline </w:t>
            </w:r>
          </w:p>
        </w:tc>
        <w:tc>
          <w:tcPr>
            <w:tcW w:w="6877" w:type="dxa"/>
            <w:tcBorders>
              <w:top w:val="single" w:sz="4" w:space="0" w:color="auto"/>
              <w:left w:val="single" w:sz="4" w:space="0" w:color="auto"/>
              <w:bottom w:val="single" w:sz="4" w:space="0" w:color="auto"/>
              <w:right w:val="single" w:sz="4" w:space="0" w:color="auto"/>
            </w:tcBorders>
            <w:shd w:val="clear" w:color="auto" w:fill="FFFFFF" w:themeFill="background1"/>
          </w:tcPr>
          <w:p w:rsidR="00CB52EF" w:rsidRPr="00776BBF" w:rsidRDefault="00776BBF">
            <w:pPr>
              <w:spacing w:after="0"/>
              <w:rPr>
                <w:sz w:val="20"/>
                <w:lang w:val="en-GB"/>
              </w:rPr>
            </w:pPr>
            <w:r w:rsidRPr="00776BBF">
              <w:rPr>
                <w:iCs/>
                <w:sz w:val="20"/>
                <w:lang w:val="en-GB"/>
              </w:rPr>
              <w:t xml:space="preserve">No baseline needed.  At the level of each project, however, a clear analysis of public policies must be carried out and a monitoring tool will be developed to track the progress.  The influence of public policy work is not linear, as intimately linked to the socio-political context.   </w:t>
            </w:r>
          </w:p>
        </w:tc>
      </w:tr>
      <w:tr w:rsidR="00CB52EF" w:rsidRPr="00E32616">
        <w:tc>
          <w:tcPr>
            <w:tcW w:w="230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CB52EF" w:rsidRPr="00776BBF" w:rsidRDefault="00776BBF">
            <w:pPr>
              <w:tabs>
                <w:tab w:val="left" w:pos="3960"/>
              </w:tabs>
              <w:spacing w:after="120" w:line="240" w:lineRule="auto"/>
              <w:rPr>
                <w:rFonts w:ascii="Calibri" w:eastAsia="Calibri" w:hAnsi="Calibri" w:cs="Calibri"/>
                <w:b/>
                <w:sz w:val="20"/>
                <w:lang w:val="en-GB"/>
              </w:rPr>
            </w:pPr>
            <w:r w:rsidRPr="00776BBF">
              <w:rPr>
                <w:rFonts w:ascii="Calibri" w:eastAsia="Calibri" w:hAnsi="Calibri" w:cs="Calibri"/>
                <w:b/>
                <w:sz w:val="20"/>
                <w:lang w:val="en-GB"/>
              </w:rPr>
              <w:t xml:space="preserve">Sources and methods of collection </w:t>
            </w:r>
          </w:p>
        </w:tc>
        <w:tc>
          <w:tcPr>
            <w:tcW w:w="68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B52EF" w:rsidRPr="00776BBF" w:rsidRDefault="00776BBF">
            <w:pPr>
              <w:spacing w:after="0"/>
              <w:rPr>
                <w:sz w:val="20"/>
                <w:lang w:val="en-GB"/>
              </w:rPr>
            </w:pPr>
            <w:r w:rsidRPr="00776BBF">
              <w:rPr>
                <w:sz w:val="20"/>
                <w:lang w:val="en-GB"/>
              </w:rPr>
              <w:t xml:space="preserve">Documentary review (Sources: official documents form the basis of reference (Official Journal, etc.). The information comes directly from our heads and project coordinators. The documents concerned are attached to the reporting of indicators, highlighting the changes made by </w:t>
            </w:r>
            <w:proofErr w:type="spellStart"/>
            <w:r w:rsidRPr="00776BBF">
              <w:rPr>
                <w:sz w:val="20"/>
                <w:lang w:val="en-GB"/>
              </w:rPr>
              <w:t>Tdh</w:t>
            </w:r>
            <w:proofErr w:type="spellEnd"/>
            <w:r w:rsidRPr="00776BBF">
              <w:rPr>
                <w:sz w:val="20"/>
                <w:lang w:val="en-GB"/>
              </w:rPr>
              <w:t xml:space="preserve"> and how they are aligned with Vision 2030, the 2017-2020 strategy and the thematic policy.</w:t>
            </w:r>
          </w:p>
        </w:tc>
      </w:tr>
      <w:tr w:rsidR="00CB52EF" w:rsidRPr="00E32616">
        <w:tc>
          <w:tcPr>
            <w:tcW w:w="230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CB52EF" w:rsidRPr="00776BBF" w:rsidRDefault="00776BBF">
            <w:pPr>
              <w:tabs>
                <w:tab w:val="left" w:pos="3960"/>
              </w:tabs>
              <w:spacing w:after="120" w:line="240" w:lineRule="auto"/>
              <w:rPr>
                <w:rFonts w:ascii="Calibri" w:eastAsia="Calibri" w:hAnsi="Calibri" w:cs="Calibri"/>
                <w:b/>
                <w:sz w:val="20"/>
                <w:lang w:val="en-GB"/>
              </w:rPr>
            </w:pPr>
            <w:r w:rsidRPr="00776BBF">
              <w:rPr>
                <w:rFonts w:ascii="Calibri" w:eastAsia="Calibri" w:hAnsi="Calibri" w:cs="Calibri"/>
                <w:b/>
                <w:sz w:val="20"/>
                <w:lang w:val="en-GB"/>
              </w:rPr>
              <w:t>Collection tools</w:t>
            </w:r>
          </w:p>
        </w:tc>
        <w:tc>
          <w:tcPr>
            <w:tcW w:w="68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B52EF" w:rsidRPr="00776BBF" w:rsidRDefault="00776BBF">
            <w:pPr>
              <w:spacing w:after="0"/>
              <w:rPr>
                <w:sz w:val="20"/>
                <w:lang w:val="en-GB"/>
              </w:rPr>
            </w:pPr>
            <w:r w:rsidRPr="00776BBF">
              <w:rPr>
                <w:sz w:val="20"/>
                <w:lang w:val="en-GB"/>
              </w:rPr>
              <w:t>A summary sheet to be adapted according to the context [HYPERTEXT LINK].</w:t>
            </w:r>
          </w:p>
        </w:tc>
      </w:tr>
      <w:tr w:rsidR="00CB52EF" w:rsidRPr="00E32616">
        <w:tc>
          <w:tcPr>
            <w:tcW w:w="2303" w:type="dxa"/>
            <w:tcBorders>
              <w:top w:val="single" w:sz="4" w:space="0" w:color="auto"/>
              <w:left w:val="single" w:sz="4" w:space="0" w:color="auto"/>
              <w:bottom w:val="nil"/>
              <w:right w:val="single" w:sz="4" w:space="0" w:color="auto"/>
            </w:tcBorders>
            <w:shd w:val="clear" w:color="auto" w:fill="DBE5F1" w:themeFill="accent1" w:themeFillTint="33"/>
            <w:hideMark/>
          </w:tcPr>
          <w:p w:rsidR="00CB52EF" w:rsidRPr="00776BBF" w:rsidRDefault="00CB52EF">
            <w:pPr>
              <w:tabs>
                <w:tab w:val="left" w:pos="3960"/>
              </w:tabs>
              <w:spacing w:after="120" w:line="240" w:lineRule="auto"/>
              <w:rPr>
                <w:rFonts w:ascii="Calibri" w:eastAsia="Calibri" w:hAnsi="Calibri" w:cs="Calibri"/>
                <w:b/>
                <w:sz w:val="20"/>
                <w:lang w:val="en-GB"/>
              </w:rPr>
            </w:pPr>
          </w:p>
        </w:tc>
        <w:tc>
          <w:tcPr>
            <w:tcW w:w="6877" w:type="dxa"/>
            <w:tcBorders>
              <w:top w:val="single" w:sz="4" w:space="0" w:color="auto"/>
              <w:left w:val="single" w:sz="4" w:space="0" w:color="auto"/>
              <w:bottom w:val="nil"/>
              <w:right w:val="single" w:sz="4" w:space="0" w:color="auto"/>
            </w:tcBorders>
            <w:shd w:val="clear" w:color="auto" w:fill="FFFFFF" w:themeFill="background1"/>
            <w:hideMark/>
          </w:tcPr>
          <w:p w:rsidR="00CB52EF" w:rsidRPr="00776BBF" w:rsidRDefault="00CB52EF">
            <w:pPr>
              <w:spacing w:after="0"/>
              <w:rPr>
                <w:sz w:val="20"/>
                <w:lang w:val="en-GB"/>
              </w:rPr>
            </w:pPr>
          </w:p>
        </w:tc>
      </w:tr>
      <w:tr w:rsidR="00CB52EF" w:rsidRPr="00776BBF">
        <w:tc>
          <w:tcPr>
            <w:tcW w:w="2303" w:type="dxa"/>
            <w:tcBorders>
              <w:top w:val="nil"/>
              <w:left w:val="single" w:sz="4" w:space="0" w:color="auto"/>
              <w:bottom w:val="single" w:sz="4" w:space="0" w:color="auto"/>
              <w:right w:val="single" w:sz="4" w:space="0" w:color="auto"/>
            </w:tcBorders>
            <w:shd w:val="clear" w:color="auto" w:fill="DBE5F1" w:themeFill="accent1" w:themeFillTint="33"/>
            <w:hideMark/>
          </w:tcPr>
          <w:p w:rsidR="00CB52EF" w:rsidRPr="00776BBF" w:rsidRDefault="00776BBF">
            <w:pPr>
              <w:tabs>
                <w:tab w:val="left" w:pos="3960"/>
              </w:tabs>
              <w:spacing w:after="120" w:line="240" w:lineRule="auto"/>
              <w:rPr>
                <w:rFonts w:ascii="Calibri" w:eastAsia="Calibri" w:hAnsi="Calibri" w:cs="Calibri"/>
                <w:b/>
                <w:sz w:val="20"/>
                <w:lang w:val="en-GB"/>
              </w:rPr>
            </w:pPr>
            <w:r w:rsidRPr="00776BBF">
              <w:rPr>
                <w:rFonts w:ascii="Calibri" w:eastAsia="Calibri" w:hAnsi="Calibri" w:cs="Calibri"/>
                <w:b/>
                <w:sz w:val="20"/>
                <w:lang w:val="en-GB"/>
              </w:rPr>
              <w:t>Temporality</w:t>
            </w:r>
          </w:p>
        </w:tc>
        <w:tc>
          <w:tcPr>
            <w:tcW w:w="6877" w:type="dxa"/>
            <w:tcBorders>
              <w:top w:val="nil"/>
              <w:left w:val="single" w:sz="4" w:space="0" w:color="auto"/>
              <w:bottom w:val="single" w:sz="4" w:space="0" w:color="auto"/>
              <w:right w:val="single" w:sz="4" w:space="0" w:color="auto"/>
            </w:tcBorders>
            <w:shd w:val="clear" w:color="auto" w:fill="FFFFFF" w:themeFill="background1"/>
            <w:hideMark/>
          </w:tcPr>
          <w:p w:rsidR="00CB52EF" w:rsidRPr="00776BBF" w:rsidRDefault="00776BBF">
            <w:pPr>
              <w:spacing w:after="0"/>
              <w:rPr>
                <w:sz w:val="20"/>
                <w:lang w:val="en-GB"/>
              </w:rPr>
            </w:pPr>
            <w:r w:rsidRPr="00776BBF">
              <w:rPr>
                <w:sz w:val="20"/>
                <w:lang w:val="en-GB"/>
              </w:rPr>
              <w:t xml:space="preserve">The data collection is done at a </w:t>
            </w:r>
            <w:r w:rsidRPr="00776BBF">
              <w:rPr>
                <w:b/>
                <w:sz w:val="20"/>
                <w:lang w:val="en-GB"/>
              </w:rPr>
              <w:t xml:space="preserve">free frequency according to the capabilities of each delegation, </w:t>
            </w:r>
            <w:r w:rsidRPr="00776BBF">
              <w:rPr>
                <w:sz w:val="20"/>
                <w:lang w:val="en-GB"/>
              </w:rPr>
              <w:t>taking care that technical input made over a period straddling two reporting periods are not counted twice.</w:t>
            </w:r>
            <w:r w:rsidRPr="00776BBF">
              <w:rPr>
                <w:b/>
                <w:sz w:val="20"/>
                <w:lang w:val="en-GB"/>
              </w:rPr>
              <w:t xml:space="preserve"> Reporting is carried out on a semi-annual basis.</w:t>
            </w:r>
          </w:p>
        </w:tc>
      </w:tr>
      <w:tr w:rsidR="00CB52EF" w:rsidRPr="00E32616">
        <w:tc>
          <w:tcPr>
            <w:tcW w:w="230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CB52EF" w:rsidRPr="00776BBF" w:rsidRDefault="00776BBF">
            <w:pPr>
              <w:tabs>
                <w:tab w:val="left" w:pos="3960"/>
              </w:tabs>
              <w:spacing w:after="120" w:line="240" w:lineRule="auto"/>
              <w:rPr>
                <w:rFonts w:ascii="Calibri" w:eastAsia="Calibri" w:hAnsi="Calibri" w:cs="Calibri"/>
                <w:b/>
                <w:sz w:val="20"/>
                <w:lang w:val="en-GB"/>
              </w:rPr>
            </w:pPr>
            <w:r w:rsidRPr="00776BBF">
              <w:rPr>
                <w:rFonts w:ascii="Calibri" w:eastAsia="Calibri" w:hAnsi="Calibri" w:cs="Calibri"/>
                <w:b/>
                <w:sz w:val="20"/>
                <w:lang w:val="en-GB"/>
              </w:rPr>
              <w:t>Roles and responsibilities</w:t>
            </w:r>
          </w:p>
        </w:tc>
        <w:tc>
          <w:tcPr>
            <w:tcW w:w="6877" w:type="dxa"/>
            <w:tcBorders>
              <w:top w:val="single" w:sz="4" w:space="0" w:color="auto"/>
              <w:left w:val="single" w:sz="4" w:space="0" w:color="auto"/>
              <w:bottom w:val="single" w:sz="4" w:space="0" w:color="auto"/>
              <w:right w:val="single" w:sz="4" w:space="0" w:color="auto"/>
            </w:tcBorders>
            <w:shd w:val="clear" w:color="auto" w:fill="FFFFFF" w:themeFill="background1"/>
          </w:tcPr>
          <w:p w:rsidR="00CB52EF" w:rsidRPr="00776BBF" w:rsidRDefault="00776BBF" w:rsidP="006E03F5">
            <w:pPr>
              <w:spacing w:after="120" w:line="240" w:lineRule="auto"/>
              <w:contextualSpacing/>
              <w:jc w:val="both"/>
              <w:rPr>
                <w:sz w:val="20"/>
                <w:lang w:val="en-GB"/>
              </w:rPr>
            </w:pPr>
            <w:r w:rsidRPr="00776BBF">
              <w:rPr>
                <w:sz w:val="20"/>
                <w:lang w:val="en-GB"/>
              </w:rPr>
              <w:t xml:space="preserve">Roles and responsibilities are established at the beginning of the reporting period. The consolidation of data for each delegation is the responsibility of the project </w:t>
            </w:r>
            <w:r w:rsidR="006E03F5">
              <w:rPr>
                <w:sz w:val="20"/>
                <w:lang w:val="en-GB"/>
              </w:rPr>
              <w:t xml:space="preserve">manager </w:t>
            </w:r>
            <w:r w:rsidRPr="00776BBF">
              <w:rPr>
                <w:sz w:val="20"/>
                <w:lang w:val="en-GB"/>
              </w:rPr>
              <w:t>or project coordinator in justice (or protection), which can delegate the collection to on-site teams (head of M&amp;E, social workers, jurists, etc.). The information is sent with comments (qualitative analysis) to the head of delegation, who shall send it to the regional Justice Coordinator, who consolidates the information and sends it to headquarters.</w:t>
            </w:r>
          </w:p>
        </w:tc>
      </w:tr>
      <w:tr w:rsidR="00CB52EF" w:rsidRPr="00E32616">
        <w:tc>
          <w:tcPr>
            <w:tcW w:w="230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CB52EF" w:rsidRPr="00776BBF" w:rsidRDefault="00776BBF">
            <w:pPr>
              <w:tabs>
                <w:tab w:val="left" w:pos="3960"/>
              </w:tabs>
              <w:spacing w:after="120" w:line="240" w:lineRule="auto"/>
              <w:rPr>
                <w:rFonts w:ascii="Calibri" w:eastAsia="Calibri" w:hAnsi="Calibri" w:cs="Calibri"/>
                <w:b/>
                <w:sz w:val="20"/>
                <w:lang w:val="en-GB"/>
              </w:rPr>
            </w:pPr>
            <w:r w:rsidRPr="00776BBF">
              <w:rPr>
                <w:rFonts w:ascii="Calibri" w:eastAsia="Calibri" w:hAnsi="Calibri" w:cs="Calibri"/>
                <w:b/>
                <w:sz w:val="20"/>
                <w:lang w:val="en-GB"/>
              </w:rPr>
              <w:t>Issues related to the recommended quality</w:t>
            </w:r>
          </w:p>
          <w:p w:rsidR="00CB52EF" w:rsidRPr="00776BBF" w:rsidRDefault="00CB52EF">
            <w:pPr>
              <w:tabs>
                <w:tab w:val="left" w:pos="3960"/>
              </w:tabs>
              <w:spacing w:after="120" w:line="240" w:lineRule="auto"/>
              <w:rPr>
                <w:rFonts w:ascii="Calibri" w:eastAsia="Calibri" w:hAnsi="Calibri" w:cs="Calibri"/>
                <w:b/>
                <w:sz w:val="20"/>
                <w:lang w:val="en-GB"/>
              </w:rPr>
            </w:pPr>
          </w:p>
        </w:tc>
        <w:tc>
          <w:tcPr>
            <w:tcW w:w="68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B52EF" w:rsidRPr="00776BBF" w:rsidRDefault="00776BBF">
            <w:pPr>
              <w:spacing w:after="0"/>
              <w:rPr>
                <w:sz w:val="20"/>
                <w:lang w:val="en-GB"/>
              </w:rPr>
            </w:pPr>
            <w:r w:rsidRPr="00776BBF">
              <w:rPr>
                <w:sz w:val="20"/>
                <w:lang w:val="en-GB"/>
              </w:rPr>
              <w:t xml:space="preserve">The main issue around this indicator is related to our ability to demonstrate that the proposed changes will have a real positive impact in the treatment of cases involving children in contact with the law. </w:t>
            </w:r>
          </w:p>
          <w:p w:rsidR="00CB52EF" w:rsidRPr="00776BBF" w:rsidRDefault="00776BBF">
            <w:pPr>
              <w:spacing w:after="0"/>
              <w:rPr>
                <w:sz w:val="20"/>
                <w:lang w:val="en-GB"/>
              </w:rPr>
            </w:pPr>
            <w:r w:rsidRPr="00776BBF">
              <w:rPr>
                <w:sz w:val="20"/>
                <w:lang w:val="en-GB"/>
              </w:rPr>
              <w:t xml:space="preserve">The question of the contribution of </w:t>
            </w:r>
            <w:proofErr w:type="spellStart"/>
            <w:r w:rsidRPr="00776BBF">
              <w:rPr>
                <w:sz w:val="20"/>
                <w:lang w:val="en-GB"/>
              </w:rPr>
              <w:t>Tdh</w:t>
            </w:r>
            <w:proofErr w:type="spellEnd"/>
            <w:r w:rsidRPr="00776BBF">
              <w:rPr>
                <w:sz w:val="20"/>
                <w:lang w:val="en-GB"/>
              </w:rPr>
              <w:t xml:space="preserve"> to the concerned change also raises questions when others actors are involved.  Therefore, an analysis of the context and the institutional dynamics, the role of the actors involved in the socio-political-legal work, and the contribution of </w:t>
            </w:r>
            <w:proofErr w:type="spellStart"/>
            <w:r w:rsidRPr="00776BBF">
              <w:rPr>
                <w:sz w:val="20"/>
                <w:lang w:val="en-GB"/>
              </w:rPr>
              <w:t>Tdh</w:t>
            </w:r>
            <w:proofErr w:type="spellEnd"/>
            <w:r w:rsidRPr="00776BBF">
              <w:rPr>
                <w:sz w:val="20"/>
                <w:lang w:val="en-GB"/>
              </w:rPr>
              <w:t xml:space="preserve"> is important in order to reflect the contribution of JJ project teams to these changes.</w:t>
            </w:r>
          </w:p>
          <w:p w:rsidR="00CB52EF" w:rsidRPr="00776BBF" w:rsidRDefault="00CB52EF">
            <w:pPr>
              <w:spacing w:after="0"/>
              <w:rPr>
                <w:sz w:val="20"/>
                <w:lang w:val="en-GB"/>
              </w:rPr>
            </w:pPr>
          </w:p>
          <w:p w:rsidR="00CB52EF" w:rsidRPr="00776BBF" w:rsidRDefault="00776BBF">
            <w:pPr>
              <w:spacing w:after="0"/>
              <w:rPr>
                <w:sz w:val="20"/>
                <w:lang w:val="en-GB"/>
              </w:rPr>
            </w:pPr>
            <w:r w:rsidRPr="00776BBF">
              <w:rPr>
                <w:sz w:val="20"/>
                <w:lang w:val="en-GB"/>
              </w:rPr>
              <w:lastRenderedPageBreak/>
              <w:t>Finally, it is essential to ensure--in detail--that the proposed changes are approved by the government and to document the proposals that are not retained, in order to analyse the reasons that prompted the government to accept or reject changes for purposes of institutional learning, in order to adapt the advocacy strategy / institutional strengthening.</w:t>
            </w:r>
          </w:p>
          <w:p w:rsidR="00CB52EF" w:rsidRPr="00776BBF" w:rsidRDefault="00CB52EF">
            <w:pPr>
              <w:spacing w:after="0"/>
              <w:rPr>
                <w:sz w:val="20"/>
                <w:lang w:val="en-GB"/>
              </w:rPr>
            </w:pPr>
          </w:p>
        </w:tc>
      </w:tr>
      <w:tr w:rsidR="00CB52EF" w:rsidRPr="00E32616">
        <w:tc>
          <w:tcPr>
            <w:tcW w:w="230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CB52EF" w:rsidRPr="00776BBF" w:rsidRDefault="00776BBF">
            <w:pPr>
              <w:tabs>
                <w:tab w:val="left" w:pos="3960"/>
              </w:tabs>
              <w:spacing w:after="120" w:line="240" w:lineRule="auto"/>
              <w:rPr>
                <w:rFonts w:ascii="Calibri" w:eastAsia="Calibri" w:hAnsi="Calibri" w:cs="Calibri"/>
                <w:b/>
                <w:sz w:val="20"/>
                <w:lang w:val="en-GB"/>
              </w:rPr>
            </w:pPr>
            <w:r w:rsidRPr="00776BBF">
              <w:rPr>
                <w:rFonts w:ascii="Calibri" w:eastAsia="Calibri" w:hAnsi="Calibri" w:cs="Calibri"/>
                <w:b/>
                <w:sz w:val="20"/>
                <w:lang w:val="en-GB"/>
              </w:rPr>
              <w:lastRenderedPageBreak/>
              <w:t>Analysis Plan</w:t>
            </w:r>
          </w:p>
        </w:tc>
        <w:tc>
          <w:tcPr>
            <w:tcW w:w="6877" w:type="dxa"/>
            <w:tcBorders>
              <w:top w:val="single" w:sz="4" w:space="0" w:color="auto"/>
              <w:left w:val="single" w:sz="4" w:space="0" w:color="auto"/>
              <w:bottom w:val="single" w:sz="4" w:space="0" w:color="auto"/>
              <w:right w:val="single" w:sz="4" w:space="0" w:color="auto"/>
            </w:tcBorders>
            <w:shd w:val="clear" w:color="auto" w:fill="FFFFFF" w:themeFill="background1"/>
          </w:tcPr>
          <w:p w:rsidR="00CB52EF" w:rsidRPr="00776BBF" w:rsidRDefault="00776BBF">
            <w:pPr>
              <w:spacing w:after="0"/>
              <w:rPr>
                <w:sz w:val="20"/>
                <w:lang w:val="en-GB"/>
              </w:rPr>
            </w:pPr>
            <w:r w:rsidRPr="00776BBF">
              <w:rPr>
                <w:sz w:val="20"/>
                <w:lang w:val="en-GB"/>
              </w:rPr>
              <w:t>By type / level of change (policy, legislation, procedure)</w:t>
            </w:r>
          </w:p>
          <w:p w:rsidR="00CB52EF" w:rsidRPr="00776BBF" w:rsidRDefault="00CB52EF">
            <w:pPr>
              <w:spacing w:after="0"/>
              <w:rPr>
                <w:sz w:val="20"/>
                <w:lang w:val="en-GB"/>
              </w:rPr>
            </w:pPr>
          </w:p>
          <w:p w:rsidR="00CB52EF" w:rsidRPr="00776BBF" w:rsidRDefault="00776BBF">
            <w:pPr>
              <w:spacing w:after="0"/>
              <w:rPr>
                <w:sz w:val="20"/>
                <w:lang w:val="en-GB"/>
              </w:rPr>
            </w:pPr>
            <w:r w:rsidRPr="00776BBF">
              <w:rPr>
                <w:sz w:val="20"/>
                <w:lang w:val="en-GB"/>
              </w:rPr>
              <w:t xml:space="preserve">In narrative reports, qualitative analysis of change should appear as a reflection of the likely consequences of the changes made by </w:t>
            </w:r>
            <w:proofErr w:type="spellStart"/>
            <w:r w:rsidRPr="00776BBF">
              <w:rPr>
                <w:sz w:val="20"/>
                <w:lang w:val="en-GB"/>
              </w:rPr>
              <w:t>Tdh</w:t>
            </w:r>
            <w:proofErr w:type="spellEnd"/>
            <w:r w:rsidRPr="00776BBF">
              <w:rPr>
                <w:sz w:val="20"/>
                <w:lang w:val="en-GB"/>
              </w:rPr>
              <w:t>.</w:t>
            </w:r>
          </w:p>
          <w:p w:rsidR="00CB52EF" w:rsidRPr="00776BBF" w:rsidRDefault="00CB52EF">
            <w:pPr>
              <w:spacing w:after="0"/>
              <w:rPr>
                <w:sz w:val="20"/>
                <w:lang w:val="en-GB"/>
              </w:rPr>
            </w:pPr>
          </w:p>
          <w:p w:rsidR="00CB52EF" w:rsidRPr="00776BBF" w:rsidRDefault="00776BBF">
            <w:pPr>
              <w:spacing w:after="0"/>
              <w:rPr>
                <w:sz w:val="20"/>
                <w:lang w:val="en-GB"/>
              </w:rPr>
            </w:pPr>
            <w:r w:rsidRPr="00776BBF">
              <w:rPr>
                <w:sz w:val="20"/>
                <w:lang w:val="en-GB"/>
              </w:rPr>
              <w:t xml:space="preserve">Considering the limits of the indicator set out above, the analytic / qualitative dimension is important to be explored within the analysis limits and plan.  </w:t>
            </w:r>
          </w:p>
          <w:p w:rsidR="00CB52EF" w:rsidRPr="00776BBF" w:rsidRDefault="00776BBF">
            <w:pPr>
              <w:spacing w:after="0"/>
              <w:rPr>
                <w:sz w:val="20"/>
                <w:lang w:val="en-GB"/>
              </w:rPr>
            </w:pPr>
            <w:r w:rsidRPr="00776BBF">
              <w:rPr>
                <w:sz w:val="20"/>
                <w:lang w:val="en-GB"/>
              </w:rPr>
              <w:t>We want to know:</w:t>
            </w:r>
          </w:p>
          <w:p w:rsidR="00CB52EF" w:rsidRPr="00776BBF" w:rsidRDefault="00776BBF">
            <w:pPr>
              <w:pStyle w:val="Paragraphedeliste"/>
              <w:numPr>
                <w:ilvl w:val="0"/>
                <w:numId w:val="2"/>
              </w:numPr>
              <w:spacing w:after="0"/>
              <w:rPr>
                <w:sz w:val="20"/>
                <w:lang w:val="en-GB"/>
              </w:rPr>
            </w:pPr>
            <w:r w:rsidRPr="00776BBF">
              <w:rPr>
                <w:sz w:val="20"/>
                <w:lang w:val="en-GB"/>
              </w:rPr>
              <w:t>The nature of the change,</w:t>
            </w:r>
          </w:p>
          <w:p w:rsidR="00CB52EF" w:rsidRPr="00776BBF" w:rsidRDefault="00776BBF">
            <w:pPr>
              <w:pStyle w:val="Paragraphedeliste"/>
              <w:numPr>
                <w:ilvl w:val="0"/>
                <w:numId w:val="2"/>
              </w:numPr>
              <w:spacing w:after="0"/>
              <w:rPr>
                <w:sz w:val="20"/>
                <w:lang w:val="en-GB"/>
              </w:rPr>
            </w:pPr>
            <w:r w:rsidRPr="00776BBF">
              <w:rPr>
                <w:sz w:val="20"/>
                <w:lang w:val="en-GB"/>
              </w:rPr>
              <w:t xml:space="preserve">The nature of </w:t>
            </w:r>
            <w:proofErr w:type="spellStart"/>
            <w:r w:rsidRPr="00776BBF">
              <w:rPr>
                <w:sz w:val="20"/>
                <w:lang w:val="en-GB"/>
              </w:rPr>
              <w:t>Tdh</w:t>
            </w:r>
            <w:proofErr w:type="spellEnd"/>
            <w:r w:rsidRPr="00776BBF">
              <w:rPr>
                <w:sz w:val="20"/>
                <w:lang w:val="en-GB"/>
              </w:rPr>
              <w:t xml:space="preserve"> support,</w:t>
            </w:r>
          </w:p>
          <w:p w:rsidR="00CB52EF" w:rsidRPr="00776BBF" w:rsidRDefault="00776BBF">
            <w:pPr>
              <w:pStyle w:val="Paragraphedeliste"/>
              <w:numPr>
                <w:ilvl w:val="0"/>
                <w:numId w:val="2"/>
              </w:numPr>
              <w:spacing w:after="0"/>
              <w:rPr>
                <w:sz w:val="20"/>
                <w:lang w:val="en-GB"/>
              </w:rPr>
            </w:pPr>
            <w:r w:rsidRPr="00776BBF">
              <w:rPr>
                <w:sz w:val="20"/>
                <w:lang w:val="en-GB"/>
              </w:rPr>
              <w:t>How the change meets international standards on the rights of the child and the RJJ approach</w:t>
            </w:r>
          </w:p>
        </w:tc>
      </w:tr>
      <w:tr w:rsidR="00CB52EF" w:rsidRPr="00E32616">
        <w:tc>
          <w:tcPr>
            <w:tcW w:w="230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CB52EF" w:rsidRPr="00776BBF" w:rsidRDefault="00776BBF">
            <w:pPr>
              <w:tabs>
                <w:tab w:val="left" w:pos="3960"/>
              </w:tabs>
              <w:spacing w:after="120" w:line="240" w:lineRule="auto"/>
              <w:rPr>
                <w:rFonts w:ascii="Calibri" w:eastAsia="Calibri" w:hAnsi="Calibri" w:cs="Calibri"/>
                <w:b/>
                <w:sz w:val="20"/>
                <w:lang w:val="en-GB"/>
              </w:rPr>
            </w:pPr>
            <w:r w:rsidRPr="00776BBF">
              <w:rPr>
                <w:rFonts w:ascii="Calibri" w:eastAsia="Calibri" w:hAnsi="Calibri" w:cs="Calibri"/>
                <w:b/>
                <w:sz w:val="20"/>
                <w:lang w:val="en-GB"/>
              </w:rPr>
              <w:t xml:space="preserve">Resources  </w:t>
            </w:r>
          </w:p>
        </w:tc>
        <w:tc>
          <w:tcPr>
            <w:tcW w:w="6877" w:type="dxa"/>
            <w:tcBorders>
              <w:top w:val="single" w:sz="4" w:space="0" w:color="auto"/>
              <w:left w:val="single" w:sz="4" w:space="0" w:color="auto"/>
              <w:bottom w:val="single" w:sz="4" w:space="0" w:color="auto"/>
              <w:right w:val="single" w:sz="4" w:space="0" w:color="auto"/>
            </w:tcBorders>
            <w:shd w:val="clear" w:color="auto" w:fill="FFFFFF" w:themeFill="background1"/>
          </w:tcPr>
          <w:p w:rsidR="00CB52EF" w:rsidRPr="00776BBF" w:rsidRDefault="00776BBF">
            <w:pPr>
              <w:spacing w:after="0"/>
              <w:rPr>
                <w:sz w:val="20"/>
                <w:lang w:val="en-GB"/>
              </w:rPr>
            </w:pPr>
            <w:r w:rsidRPr="00776BBF">
              <w:rPr>
                <w:sz w:val="20"/>
                <w:lang w:val="en-GB"/>
              </w:rPr>
              <w:t xml:space="preserve">1-2 days of reporting should be considered for the qualitative analysis of policies, laws, and procedures that have been validated by the competent authorities, with the support of </w:t>
            </w:r>
            <w:proofErr w:type="spellStart"/>
            <w:r w:rsidRPr="00776BBF">
              <w:rPr>
                <w:sz w:val="20"/>
                <w:lang w:val="en-GB"/>
              </w:rPr>
              <w:t>Tdh</w:t>
            </w:r>
            <w:proofErr w:type="spellEnd"/>
            <w:r w:rsidRPr="00776BBF">
              <w:rPr>
                <w:sz w:val="20"/>
                <w:lang w:val="en-GB"/>
              </w:rPr>
              <w:t>.</w:t>
            </w:r>
          </w:p>
          <w:p w:rsidR="00CB52EF" w:rsidRPr="00776BBF" w:rsidRDefault="00CB52EF">
            <w:pPr>
              <w:spacing w:after="0"/>
              <w:rPr>
                <w:sz w:val="20"/>
                <w:lang w:val="en-GB"/>
              </w:rPr>
            </w:pPr>
          </w:p>
        </w:tc>
      </w:tr>
    </w:tbl>
    <w:p w:rsidR="00CB52EF" w:rsidRPr="00776BBF" w:rsidRDefault="00CB52EF">
      <w:pPr>
        <w:rPr>
          <w:lang w:val="en-GB"/>
        </w:rPr>
      </w:pPr>
    </w:p>
    <w:p w:rsidR="00CB52EF" w:rsidRPr="00776BBF" w:rsidRDefault="00CB52EF">
      <w:pPr>
        <w:rPr>
          <w:lang w:val="en-GB"/>
        </w:rPr>
      </w:pPr>
    </w:p>
    <w:p w:rsidR="00CB52EF" w:rsidRPr="00776BBF" w:rsidRDefault="00CB52EF">
      <w:pPr>
        <w:rPr>
          <w:lang w:val="en-GB"/>
        </w:rPr>
      </w:pPr>
    </w:p>
    <w:sectPr w:rsidR="00CB52EF" w:rsidRPr="00776BBF">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193D" w:rsidRDefault="0099193D">
      <w:pPr>
        <w:spacing w:after="0" w:line="240" w:lineRule="auto"/>
      </w:pPr>
      <w:r>
        <w:separator/>
      </w:r>
    </w:p>
  </w:endnote>
  <w:endnote w:type="continuationSeparator" w:id="0">
    <w:p w:rsidR="0099193D" w:rsidRDefault="009919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638239"/>
      <w:docPartObj>
        <w:docPartGallery w:val="Page Numbers (Bottom of Page)"/>
        <w:docPartUnique/>
      </w:docPartObj>
    </w:sdtPr>
    <w:sdtEndPr>
      <w:rPr>
        <w:noProof/>
      </w:rPr>
    </w:sdtEndPr>
    <w:sdtContent>
      <w:p w:rsidR="00CB52EF" w:rsidRDefault="00776BBF">
        <w:pPr>
          <w:pStyle w:val="Pieddepage"/>
          <w:pBdr>
            <w:top w:val="single" w:sz="4" w:space="13" w:color="auto"/>
          </w:pBdr>
          <w:jc w:val="right"/>
        </w:pPr>
        <w:r>
          <w:fldChar w:fldCharType="begin"/>
        </w:r>
        <w:r>
          <w:instrText xml:space="preserve"> PAGE   \* MERGEFORMAT </w:instrText>
        </w:r>
        <w:r>
          <w:fldChar w:fldCharType="separate"/>
        </w:r>
        <w:r w:rsidR="00E32616">
          <w:rPr>
            <w:noProof/>
          </w:rPr>
          <w:t>1</w:t>
        </w:r>
        <w:r>
          <w:rPr>
            <w:noProof/>
          </w:rPr>
          <w:fldChar w:fldCharType="end"/>
        </w:r>
        <w:r>
          <w:t xml:space="preserve"> / </w:t>
        </w:r>
        <w:r>
          <w:fldChar w:fldCharType="begin"/>
        </w:r>
        <w:r>
          <w:rPr>
            <w:noProof/>
          </w:rPr>
          <w:instrText xml:space="preserve"> SECTIONPAGES   \* MERGEFORMAT </w:instrText>
        </w:r>
        <w:r>
          <w:rPr>
            <w:noProof/>
          </w:rPr>
          <w:fldChar w:fldCharType="separate"/>
        </w:r>
        <w:r w:rsidR="00E32616">
          <w:rPr>
            <w:noProof/>
          </w:rPr>
          <w:t>3</w:t>
        </w:r>
        <w:r>
          <w:rPr>
            <w:noProof/>
          </w:rPr>
          <w:fldChar w:fldCharType="end"/>
        </w:r>
      </w:p>
    </w:sdtContent>
  </w:sdt>
  <w:p w:rsidR="00CB52EF" w:rsidRDefault="00CB52EF">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193D" w:rsidRDefault="0099193D">
      <w:pPr>
        <w:spacing w:after="0" w:line="240" w:lineRule="auto"/>
      </w:pPr>
      <w:r>
        <w:separator/>
      </w:r>
    </w:p>
  </w:footnote>
  <w:footnote w:type="continuationSeparator" w:id="0">
    <w:p w:rsidR="0099193D" w:rsidRDefault="0099193D">
      <w:pPr>
        <w:spacing w:after="0" w:line="240" w:lineRule="auto"/>
      </w:pPr>
      <w:r>
        <w:continuationSeparator/>
      </w:r>
    </w:p>
  </w:footnote>
  <w:footnote w:id="1">
    <w:p w:rsidR="00CB52EF" w:rsidRPr="00776BBF" w:rsidRDefault="00776BBF">
      <w:pPr>
        <w:pStyle w:val="Notedebasdepage"/>
        <w:rPr>
          <w:lang w:val="en-US"/>
        </w:rPr>
      </w:pPr>
      <w:r>
        <w:rPr>
          <w:rStyle w:val="Appelnotedebasdep"/>
        </w:rPr>
        <w:footnoteRef/>
      </w:r>
      <w:r w:rsidRPr="00776BBF">
        <w:rPr>
          <w:lang w:val="en-US"/>
        </w:rPr>
        <w:t xml:space="preserve"> </w:t>
      </w:r>
      <w:proofErr w:type="spellStart"/>
      <w:r w:rsidRPr="00776BBF">
        <w:rPr>
          <w:lang w:val="en-US"/>
        </w:rPr>
        <w:t>Dalloz</w:t>
      </w:r>
      <w:proofErr w:type="spellEnd"/>
      <w:r w:rsidRPr="00776BBF">
        <w:rPr>
          <w:lang w:val="en-US"/>
        </w:rPr>
        <w:t>, Glossary of legal terms, 2014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2EF" w:rsidRDefault="00776BBF">
    <w:pPr>
      <w:pStyle w:val="En-tte"/>
    </w:pPr>
    <w:r>
      <w:rPr>
        <w:noProof/>
        <w:lang w:val="en-US"/>
      </w:rPr>
      <w:drawing>
        <wp:inline distT="0" distB="0" distL="0" distR="0" wp14:anchorId="7AC07780" wp14:editId="44B56AE7">
          <wp:extent cx="1489266" cy="257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TdH_neutral_cmyk_C_medium.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7741" cy="260365"/>
                  </a:xfrm>
                  <a:prstGeom prst="rect">
                    <a:avLst/>
                  </a:prstGeom>
                </pic:spPr>
              </pic:pic>
            </a:graphicData>
          </a:graphic>
        </wp:inline>
      </w:drawing>
    </w:r>
    <w:r>
      <w:rPr>
        <w:sz w:val="18"/>
      </w:rPr>
      <w:tab/>
    </w:r>
    <w:r>
      <w:rPr>
        <w:sz w:val="18"/>
      </w:rPr>
      <w:tab/>
      <w:t>15/05/2017</w:t>
    </w:r>
  </w:p>
  <w:p w:rsidR="00CB52EF" w:rsidRDefault="00CB52EF">
    <w:pPr>
      <w:pStyle w:val="En-tte"/>
    </w:pPr>
  </w:p>
  <w:p w:rsidR="00CB52EF" w:rsidRDefault="00CB52EF">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278DB"/>
    <w:multiLevelType w:val="hybridMultilevel"/>
    <w:tmpl w:val="23003446"/>
    <w:lvl w:ilvl="0" w:tplc="9A1CCD86">
      <w:start w:val="1"/>
      <w:numFmt w:val="bullet"/>
      <w:lvlText w:val="-"/>
      <w:lvlJc w:val="left"/>
      <w:pPr>
        <w:ind w:left="720" w:hanging="360"/>
      </w:pPr>
      <w:rPr>
        <w:rFonts w:ascii="Calibri" w:eastAsia="Calibri" w:hAnsi="Calibri" w:cs="Times New Roman" w:hint="default"/>
        <w:b/>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nsid w:val="358866EB"/>
    <w:multiLevelType w:val="hybridMultilevel"/>
    <w:tmpl w:val="2796087A"/>
    <w:lvl w:ilvl="0" w:tplc="6ADAB840">
      <w:start w:val="2"/>
      <w:numFmt w:val="bullet"/>
      <w:lvlText w:val="-"/>
      <w:lvlJc w:val="left"/>
      <w:pPr>
        <w:ind w:left="720" w:hanging="360"/>
      </w:pPr>
      <w:rPr>
        <w:rFonts w:ascii="Calibri" w:eastAsiaTheme="minorHAnsi" w:hAnsi="Calibri" w:cstheme="minorBidi" w:hint="default"/>
        <w:color w:val="F79646" w:themeColor="accent6"/>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nsid w:val="3AD115C8"/>
    <w:multiLevelType w:val="hybridMultilevel"/>
    <w:tmpl w:val="4322D7DE"/>
    <w:lvl w:ilvl="0" w:tplc="9C8AD2CA">
      <w:start w:val="2"/>
      <w:numFmt w:val="bullet"/>
      <w:lvlText w:val="-"/>
      <w:lvlJc w:val="left"/>
      <w:pPr>
        <w:ind w:left="720" w:hanging="360"/>
      </w:pPr>
      <w:rPr>
        <w:rFonts w:ascii="Calibri" w:eastAsiaTheme="minorHAnsi" w:hAnsi="Calibri"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895"/>
    <w:rsid w:val="00001895"/>
    <w:rsid w:val="000F1E6F"/>
    <w:rsid w:val="0013036F"/>
    <w:rsid w:val="00152608"/>
    <w:rsid w:val="00172E91"/>
    <w:rsid w:val="001A4770"/>
    <w:rsid w:val="001B093D"/>
    <w:rsid w:val="001D4D7C"/>
    <w:rsid w:val="00235BBE"/>
    <w:rsid w:val="00245C8B"/>
    <w:rsid w:val="002847D0"/>
    <w:rsid w:val="0030695D"/>
    <w:rsid w:val="003A73B4"/>
    <w:rsid w:val="003C30E8"/>
    <w:rsid w:val="003D6FF2"/>
    <w:rsid w:val="003D7E75"/>
    <w:rsid w:val="00411A95"/>
    <w:rsid w:val="004762C7"/>
    <w:rsid w:val="00480B1D"/>
    <w:rsid w:val="0048156C"/>
    <w:rsid w:val="0048303C"/>
    <w:rsid w:val="004D4FB5"/>
    <w:rsid w:val="004D60D5"/>
    <w:rsid w:val="004E12DD"/>
    <w:rsid w:val="00505E9F"/>
    <w:rsid w:val="00512DF0"/>
    <w:rsid w:val="0052546E"/>
    <w:rsid w:val="0053199D"/>
    <w:rsid w:val="00551190"/>
    <w:rsid w:val="005559D3"/>
    <w:rsid w:val="0057239F"/>
    <w:rsid w:val="005821DC"/>
    <w:rsid w:val="005A5EBD"/>
    <w:rsid w:val="005C1189"/>
    <w:rsid w:val="005E050B"/>
    <w:rsid w:val="005E5CD5"/>
    <w:rsid w:val="006201E1"/>
    <w:rsid w:val="006E03F5"/>
    <w:rsid w:val="00722157"/>
    <w:rsid w:val="00740A0A"/>
    <w:rsid w:val="00741E96"/>
    <w:rsid w:val="00752292"/>
    <w:rsid w:val="0075495E"/>
    <w:rsid w:val="00760271"/>
    <w:rsid w:val="00775462"/>
    <w:rsid w:val="00776BBF"/>
    <w:rsid w:val="0078664C"/>
    <w:rsid w:val="007D5D70"/>
    <w:rsid w:val="007E4563"/>
    <w:rsid w:val="00816C91"/>
    <w:rsid w:val="008254AA"/>
    <w:rsid w:val="00862702"/>
    <w:rsid w:val="00881700"/>
    <w:rsid w:val="008B0526"/>
    <w:rsid w:val="008D4FCE"/>
    <w:rsid w:val="0099193D"/>
    <w:rsid w:val="009E32FD"/>
    <w:rsid w:val="009E3947"/>
    <w:rsid w:val="009F3FE3"/>
    <w:rsid w:val="00A160E8"/>
    <w:rsid w:val="00A45960"/>
    <w:rsid w:val="00A71D60"/>
    <w:rsid w:val="00AC1962"/>
    <w:rsid w:val="00B16C96"/>
    <w:rsid w:val="00B31ADD"/>
    <w:rsid w:val="00B36689"/>
    <w:rsid w:val="00B41581"/>
    <w:rsid w:val="00B91E28"/>
    <w:rsid w:val="00B940D7"/>
    <w:rsid w:val="00BB3BE2"/>
    <w:rsid w:val="00CA4A6D"/>
    <w:rsid w:val="00CB52EF"/>
    <w:rsid w:val="00CF0FA1"/>
    <w:rsid w:val="00D02D4A"/>
    <w:rsid w:val="00D1582D"/>
    <w:rsid w:val="00D1796A"/>
    <w:rsid w:val="00D3350F"/>
    <w:rsid w:val="00D472E5"/>
    <w:rsid w:val="00DA0681"/>
    <w:rsid w:val="00DB5818"/>
    <w:rsid w:val="00E32616"/>
    <w:rsid w:val="00E404EF"/>
    <w:rsid w:val="00E70B69"/>
    <w:rsid w:val="00E9467C"/>
    <w:rsid w:val="00EA2738"/>
    <w:rsid w:val="00EA70D3"/>
    <w:rsid w:val="00EA7EE3"/>
    <w:rsid w:val="00F07C11"/>
    <w:rsid w:val="00F36BA9"/>
    <w:rsid w:val="00F5449A"/>
    <w:rsid w:val="00FA236E"/>
    <w:rsid w:val="00FC02F3"/>
    <w:rsid w:val="00FE7A50"/>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89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01895"/>
    <w:pPr>
      <w:tabs>
        <w:tab w:val="center" w:pos="4536"/>
        <w:tab w:val="right" w:pos="9072"/>
      </w:tabs>
      <w:spacing w:after="0" w:line="240" w:lineRule="auto"/>
    </w:pPr>
  </w:style>
  <w:style w:type="character" w:customStyle="1" w:styleId="En-tteCar">
    <w:name w:val="En-tête Car"/>
    <w:basedOn w:val="Policepardfaut"/>
    <w:link w:val="En-tte"/>
    <w:uiPriority w:val="99"/>
    <w:rsid w:val="00001895"/>
  </w:style>
  <w:style w:type="paragraph" w:styleId="Pieddepage">
    <w:name w:val="footer"/>
    <w:basedOn w:val="Normal"/>
    <w:link w:val="PieddepageCar"/>
    <w:uiPriority w:val="99"/>
    <w:unhideWhenUsed/>
    <w:rsid w:val="0000189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01895"/>
  </w:style>
  <w:style w:type="paragraph" w:styleId="Paragraphedeliste">
    <w:name w:val="List Paragraph"/>
    <w:basedOn w:val="Normal"/>
    <w:uiPriority w:val="34"/>
    <w:qFormat/>
    <w:rsid w:val="00001895"/>
    <w:pPr>
      <w:ind w:left="720"/>
      <w:contextualSpacing/>
    </w:pPr>
  </w:style>
  <w:style w:type="paragraph" w:styleId="Notedebasdepage">
    <w:name w:val="footnote text"/>
    <w:basedOn w:val="Normal"/>
    <w:link w:val="NotedebasdepageCar"/>
    <w:uiPriority w:val="99"/>
    <w:semiHidden/>
    <w:unhideWhenUsed/>
    <w:rsid w:val="00B16C96"/>
    <w:pPr>
      <w:spacing w:after="0" w:line="240" w:lineRule="auto"/>
    </w:pPr>
    <w:rPr>
      <w:sz w:val="20"/>
      <w:szCs w:val="20"/>
      <w:lang w:val="fr-FR"/>
    </w:rPr>
  </w:style>
  <w:style w:type="character" w:customStyle="1" w:styleId="NotedebasdepageCar">
    <w:name w:val="Note de bas de page Car"/>
    <w:basedOn w:val="Policepardfaut"/>
    <w:link w:val="Notedebasdepage"/>
    <w:uiPriority w:val="99"/>
    <w:semiHidden/>
    <w:rsid w:val="00B16C96"/>
    <w:rPr>
      <w:sz w:val="20"/>
      <w:szCs w:val="20"/>
      <w:lang w:val="fr-FR"/>
    </w:rPr>
  </w:style>
  <w:style w:type="character" w:styleId="Appelnotedebasdep">
    <w:name w:val="footnote reference"/>
    <w:basedOn w:val="Policepardfaut"/>
    <w:uiPriority w:val="99"/>
    <w:semiHidden/>
    <w:unhideWhenUsed/>
    <w:rsid w:val="00B16C96"/>
    <w:rPr>
      <w:vertAlign w:val="superscript"/>
    </w:rPr>
  </w:style>
  <w:style w:type="paragraph" w:styleId="Textedebulles">
    <w:name w:val="Balloon Text"/>
    <w:basedOn w:val="Normal"/>
    <w:link w:val="TextedebullesCar"/>
    <w:uiPriority w:val="99"/>
    <w:semiHidden/>
    <w:unhideWhenUsed/>
    <w:rsid w:val="005821D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821DC"/>
    <w:rPr>
      <w:rFonts w:ascii="Tahoma" w:hAnsi="Tahoma" w:cs="Tahoma"/>
      <w:sz w:val="16"/>
      <w:szCs w:val="16"/>
    </w:rPr>
  </w:style>
  <w:style w:type="character" w:styleId="Marquedecommentaire">
    <w:name w:val="annotation reference"/>
    <w:basedOn w:val="Policepardfaut"/>
    <w:uiPriority w:val="99"/>
    <w:semiHidden/>
    <w:unhideWhenUsed/>
    <w:rsid w:val="00CF0FA1"/>
    <w:rPr>
      <w:sz w:val="16"/>
      <w:szCs w:val="16"/>
    </w:rPr>
  </w:style>
  <w:style w:type="paragraph" w:styleId="Commentaire">
    <w:name w:val="annotation text"/>
    <w:basedOn w:val="Normal"/>
    <w:link w:val="CommentaireCar"/>
    <w:uiPriority w:val="99"/>
    <w:semiHidden/>
    <w:unhideWhenUsed/>
    <w:rsid w:val="00CF0FA1"/>
    <w:pPr>
      <w:spacing w:line="240" w:lineRule="auto"/>
    </w:pPr>
    <w:rPr>
      <w:sz w:val="20"/>
      <w:szCs w:val="20"/>
    </w:rPr>
  </w:style>
  <w:style w:type="character" w:customStyle="1" w:styleId="CommentaireCar">
    <w:name w:val="Commentaire Car"/>
    <w:basedOn w:val="Policepardfaut"/>
    <w:link w:val="Commentaire"/>
    <w:uiPriority w:val="99"/>
    <w:semiHidden/>
    <w:rsid w:val="00CF0FA1"/>
    <w:rPr>
      <w:sz w:val="20"/>
      <w:szCs w:val="20"/>
    </w:rPr>
  </w:style>
  <w:style w:type="paragraph" w:styleId="Objetducommentaire">
    <w:name w:val="annotation subject"/>
    <w:basedOn w:val="Commentaire"/>
    <w:next w:val="Commentaire"/>
    <w:link w:val="ObjetducommentaireCar"/>
    <w:uiPriority w:val="99"/>
    <w:semiHidden/>
    <w:unhideWhenUsed/>
    <w:rsid w:val="00CF0FA1"/>
    <w:rPr>
      <w:b/>
      <w:bCs/>
    </w:rPr>
  </w:style>
  <w:style w:type="character" w:customStyle="1" w:styleId="ObjetducommentaireCar">
    <w:name w:val="Objet du commentaire Car"/>
    <w:basedOn w:val="CommentaireCar"/>
    <w:link w:val="Objetducommentaire"/>
    <w:uiPriority w:val="99"/>
    <w:semiHidden/>
    <w:rsid w:val="00CF0FA1"/>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89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01895"/>
    <w:pPr>
      <w:tabs>
        <w:tab w:val="center" w:pos="4536"/>
        <w:tab w:val="right" w:pos="9072"/>
      </w:tabs>
      <w:spacing w:after="0" w:line="240" w:lineRule="auto"/>
    </w:pPr>
  </w:style>
  <w:style w:type="character" w:customStyle="1" w:styleId="En-tteCar">
    <w:name w:val="En-tête Car"/>
    <w:basedOn w:val="Policepardfaut"/>
    <w:link w:val="En-tte"/>
    <w:uiPriority w:val="99"/>
    <w:rsid w:val="00001895"/>
  </w:style>
  <w:style w:type="paragraph" w:styleId="Pieddepage">
    <w:name w:val="footer"/>
    <w:basedOn w:val="Normal"/>
    <w:link w:val="PieddepageCar"/>
    <w:uiPriority w:val="99"/>
    <w:unhideWhenUsed/>
    <w:rsid w:val="0000189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01895"/>
  </w:style>
  <w:style w:type="paragraph" w:styleId="Paragraphedeliste">
    <w:name w:val="List Paragraph"/>
    <w:basedOn w:val="Normal"/>
    <w:uiPriority w:val="34"/>
    <w:qFormat/>
    <w:rsid w:val="00001895"/>
    <w:pPr>
      <w:ind w:left="720"/>
      <w:contextualSpacing/>
    </w:pPr>
  </w:style>
  <w:style w:type="paragraph" w:styleId="Notedebasdepage">
    <w:name w:val="footnote text"/>
    <w:basedOn w:val="Normal"/>
    <w:link w:val="NotedebasdepageCar"/>
    <w:uiPriority w:val="99"/>
    <w:semiHidden/>
    <w:unhideWhenUsed/>
    <w:rsid w:val="00B16C96"/>
    <w:pPr>
      <w:spacing w:after="0" w:line="240" w:lineRule="auto"/>
    </w:pPr>
    <w:rPr>
      <w:sz w:val="20"/>
      <w:szCs w:val="20"/>
      <w:lang w:val="fr-FR"/>
    </w:rPr>
  </w:style>
  <w:style w:type="character" w:customStyle="1" w:styleId="NotedebasdepageCar">
    <w:name w:val="Note de bas de page Car"/>
    <w:basedOn w:val="Policepardfaut"/>
    <w:link w:val="Notedebasdepage"/>
    <w:uiPriority w:val="99"/>
    <w:semiHidden/>
    <w:rsid w:val="00B16C96"/>
    <w:rPr>
      <w:sz w:val="20"/>
      <w:szCs w:val="20"/>
      <w:lang w:val="fr-FR"/>
    </w:rPr>
  </w:style>
  <w:style w:type="character" w:styleId="Appelnotedebasdep">
    <w:name w:val="footnote reference"/>
    <w:basedOn w:val="Policepardfaut"/>
    <w:uiPriority w:val="99"/>
    <w:semiHidden/>
    <w:unhideWhenUsed/>
    <w:rsid w:val="00B16C96"/>
    <w:rPr>
      <w:vertAlign w:val="superscript"/>
    </w:rPr>
  </w:style>
  <w:style w:type="paragraph" w:styleId="Textedebulles">
    <w:name w:val="Balloon Text"/>
    <w:basedOn w:val="Normal"/>
    <w:link w:val="TextedebullesCar"/>
    <w:uiPriority w:val="99"/>
    <w:semiHidden/>
    <w:unhideWhenUsed/>
    <w:rsid w:val="005821D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821DC"/>
    <w:rPr>
      <w:rFonts w:ascii="Tahoma" w:hAnsi="Tahoma" w:cs="Tahoma"/>
      <w:sz w:val="16"/>
      <w:szCs w:val="16"/>
    </w:rPr>
  </w:style>
  <w:style w:type="character" w:styleId="Marquedecommentaire">
    <w:name w:val="annotation reference"/>
    <w:basedOn w:val="Policepardfaut"/>
    <w:uiPriority w:val="99"/>
    <w:semiHidden/>
    <w:unhideWhenUsed/>
    <w:rsid w:val="00CF0FA1"/>
    <w:rPr>
      <w:sz w:val="16"/>
      <w:szCs w:val="16"/>
    </w:rPr>
  </w:style>
  <w:style w:type="paragraph" w:styleId="Commentaire">
    <w:name w:val="annotation text"/>
    <w:basedOn w:val="Normal"/>
    <w:link w:val="CommentaireCar"/>
    <w:uiPriority w:val="99"/>
    <w:semiHidden/>
    <w:unhideWhenUsed/>
    <w:rsid w:val="00CF0FA1"/>
    <w:pPr>
      <w:spacing w:line="240" w:lineRule="auto"/>
    </w:pPr>
    <w:rPr>
      <w:sz w:val="20"/>
      <w:szCs w:val="20"/>
    </w:rPr>
  </w:style>
  <w:style w:type="character" w:customStyle="1" w:styleId="CommentaireCar">
    <w:name w:val="Commentaire Car"/>
    <w:basedOn w:val="Policepardfaut"/>
    <w:link w:val="Commentaire"/>
    <w:uiPriority w:val="99"/>
    <w:semiHidden/>
    <w:rsid w:val="00CF0FA1"/>
    <w:rPr>
      <w:sz w:val="20"/>
      <w:szCs w:val="20"/>
    </w:rPr>
  </w:style>
  <w:style w:type="paragraph" w:styleId="Objetducommentaire">
    <w:name w:val="annotation subject"/>
    <w:basedOn w:val="Commentaire"/>
    <w:next w:val="Commentaire"/>
    <w:link w:val="ObjetducommentaireCar"/>
    <w:uiPriority w:val="99"/>
    <w:semiHidden/>
    <w:unhideWhenUsed/>
    <w:rsid w:val="00CF0FA1"/>
    <w:rPr>
      <w:b/>
      <w:bCs/>
    </w:rPr>
  </w:style>
  <w:style w:type="character" w:customStyle="1" w:styleId="ObjetducommentaireCar">
    <w:name w:val="Objet du commentaire Car"/>
    <w:basedOn w:val="CommentaireCar"/>
    <w:link w:val="Objetducommentaire"/>
    <w:uiPriority w:val="99"/>
    <w:semiHidden/>
    <w:rsid w:val="00CF0FA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2573415">
      <w:bodyDiv w:val="1"/>
      <w:marLeft w:val="0"/>
      <w:marRight w:val="0"/>
      <w:marTop w:val="0"/>
      <w:marBottom w:val="0"/>
      <w:divBdr>
        <w:top w:val="none" w:sz="0" w:space="0" w:color="auto"/>
        <w:left w:val="none" w:sz="0" w:space="0" w:color="auto"/>
        <w:bottom w:val="none" w:sz="0" w:space="0" w:color="auto"/>
        <w:right w:val="none" w:sz="0" w:space="0" w:color="auto"/>
      </w:divBdr>
    </w:div>
    <w:div w:id="1282416772">
      <w:bodyDiv w:val="1"/>
      <w:marLeft w:val="0"/>
      <w:marRight w:val="0"/>
      <w:marTop w:val="0"/>
      <w:marBottom w:val="0"/>
      <w:divBdr>
        <w:top w:val="none" w:sz="0" w:space="0" w:color="auto"/>
        <w:left w:val="none" w:sz="0" w:space="0" w:color="auto"/>
        <w:bottom w:val="none" w:sz="0" w:space="0" w:color="auto"/>
        <w:right w:val="none" w:sz="0" w:space="0" w:color="auto"/>
      </w:divBdr>
    </w:div>
    <w:div w:id="1580870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394686-9C0D-4C28-9682-15058D4F7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1016</Words>
  <Characters>5792</Characters>
  <Application>Microsoft Office Word</Application>
  <DocSecurity>0</DocSecurity>
  <Lines>48</Lines>
  <Paragraphs>13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TDH</Company>
  <LinksUpToDate>false</LinksUpToDate>
  <CharactersWithSpaces>6795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Sophie Mareschal</dc:creator>
  <cp:lastModifiedBy>Sophie Mareschal</cp:lastModifiedBy>
  <cp:revision>8</cp:revision>
  <dcterms:created xsi:type="dcterms:W3CDTF">2017-07-27T07:41:00Z</dcterms:created>
  <dcterms:modified xsi:type="dcterms:W3CDTF">2017-10-03T15:18:00Z</dcterms:modified>
</cp:coreProperties>
</file>