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6D" w:rsidRPr="00262BC7" w:rsidRDefault="00AA596D" w:rsidP="00AA596D">
      <w:pPr>
        <w:spacing w:line="240" w:lineRule="auto"/>
        <w:jc w:val="center"/>
        <w:rPr>
          <w:rFonts w:eastAsia="Times New Roman" w:cs="Times New Roman"/>
          <w:b/>
          <w:sz w:val="20"/>
          <w:szCs w:val="20"/>
          <w:lang w:eastAsia="fr-CH"/>
        </w:rPr>
      </w:pPr>
      <w:r w:rsidRPr="00262BC7">
        <w:rPr>
          <w:rFonts w:eastAsia="Times New Roman" w:cs="Times New Roman"/>
          <w:b/>
          <w:bCs/>
          <w:color w:val="17365D"/>
          <w:sz w:val="20"/>
          <w:szCs w:val="20"/>
          <w:lang w:eastAsia="fr-CH"/>
        </w:rPr>
        <w:t xml:space="preserve">Programmatic steering </w:t>
      </w:r>
    </w:p>
    <w:p w:rsidR="00AA596D" w:rsidRPr="00262BC7" w:rsidRDefault="00AA596D" w:rsidP="00AA596D">
      <w:pPr>
        <w:spacing w:line="240" w:lineRule="auto"/>
        <w:jc w:val="center"/>
        <w:rPr>
          <w:rFonts w:eastAsia="Times New Roman" w:cs="Times New Roman"/>
          <w:b/>
          <w:sz w:val="20"/>
          <w:szCs w:val="20"/>
          <w:lang w:eastAsia="fr-CH"/>
        </w:rPr>
      </w:pPr>
      <w:r w:rsidRPr="00262BC7">
        <w:rPr>
          <w:rFonts w:eastAsia="Times New Roman" w:cs="Times New Roman"/>
          <w:b/>
          <w:bCs/>
          <w:color w:val="17365D"/>
          <w:sz w:val="20"/>
          <w:szCs w:val="20"/>
          <w:lang w:eastAsia="fr-CH"/>
        </w:rPr>
        <w:t>Indicator Reference Sheet</w:t>
      </w:r>
    </w:p>
    <w:p w:rsidR="00BB5449" w:rsidRDefault="00BB5449" w:rsidP="00BB5449">
      <w:pPr>
        <w:spacing w:line="240" w:lineRule="auto"/>
        <w:rPr>
          <w:rFonts w:eastAsia="Times New Roman" w:cs="Times New Roman"/>
          <w:b/>
          <w:bCs/>
          <w:color w:val="000000"/>
          <w:sz w:val="20"/>
          <w:szCs w:val="20"/>
          <w:lang w:eastAsia="fr-CH"/>
        </w:rPr>
      </w:pPr>
      <w:r>
        <w:rPr>
          <w:rFonts w:eastAsia="Times New Roman" w:cs="Times New Roman"/>
          <w:b/>
          <w:bCs/>
          <w:color w:val="000000"/>
          <w:sz w:val="20"/>
          <w:szCs w:val="20"/>
          <w:lang w:eastAsia="fr-CH"/>
        </w:rPr>
        <w:t>[</w:t>
      </w:r>
      <w:r w:rsidRPr="00262BC7">
        <w:rPr>
          <w:rFonts w:eastAsia="Times New Roman" w:cs="Times New Roman"/>
          <w:b/>
          <w:bCs/>
          <w:color w:val="000000"/>
          <w:sz w:val="20"/>
          <w:szCs w:val="20"/>
          <w:lang w:eastAsia="fr-CH"/>
        </w:rPr>
        <w:t>Health</w:t>
      </w:r>
      <w:r>
        <w:rPr>
          <w:rFonts w:eastAsia="Times New Roman" w:cs="Times New Roman"/>
          <w:b/>
          <w:bCs/>
          <w:color w:val="000000"/>
          <w:sz w:val="20"/>
          <w:szCs w:val="20"/>
          <w:lang w:eastAsia="fr-CH"/>
        </w:rPr>
        <w:t>]</w:t>
      </w:r>
      <w:r w:rsidRPr="00262BC7">
        <w:rPr>
          <w:rFonts w:eastAsia="Times New Roman" w:cs="Times New Roman"/>
          <w:b/>
          <w:bCs/>
          <w:color w:val="000000"/>
          <w:sz w:val="20"/>
          <w:szCs w:val="20"/>
          <w:lang w:eastAsia="fr-CH"/>
        </w:rPr>
        <w:t xml:space="preserve"> </w:t>
      </w:r>
      <w:r w:rsidRPr="00996BED">
        <w:rPr>
          <w:rFonts w:eastAsia="Times New Roman" w:cs="Times New Roman"/>
          <w:bCs/>
          <w:color w:val="000000"/>
          <w:sz w:val="20"/>
          <w:szCs w:val="20"/>
          <w:lang w:eastAsia="fr-CH"/>
        </w:rPr>
        <w:t>program</w:t>
      </w:r>
    </w:p>
    <w:p w:rsidR="00BB5449" w:rsidRPr="00996BED" w:rsidRDefault="00BB5449" w:rsidP="00BB5449">
      <w:pPr>
        <w:spacing w:line="240" w:lineRule="auto"/>
        <w:rPr>
          <w:rFonts w:eastAsia="Times New Roman" w:cs="Times New Roman"/>
          <w:bCs/>
          <w:color w:val="000000"/>
          <w:sz w:val="20"/>
          <w:szCs w:val="20"/>
          <w:lang w:eastAsia="fr-CH"/>
        </w:rPr>
      </w:pPr>
      <w:r w:rsidRPr="00996BED">
        <w:rPr>
          <w:rFonts w:eastAsia="Times New Roman" w:cs="Times New Roman"/>
          <w:b/>
          <w:bCs/>
          <w:color w:val="000000"/>
          <w:sz w:val="20"/>
          <w:szCs w:val="20"/>
          <w:lang w:eastAsia="fr-CH"/>
        </w:rPr>
        <w:t>[Outcome]</w:t>
      </w:r>
      <w:r>
        <w:rPr>
          <w:rFonts w:eastAsia="Times New Roman" w:cs="Times New Roman"/>
          <w:bCs/>
          <w:color w:val="000000"/>
          <w:sz w:val="20"/>
          <w:szCs w:val="20"/>
          <w:lang w:eastAsia="fr-CH"/>
        </w:rPr>
        <w:t xml:space="preserve"> O</w:t>
      </w:r>
      <w:r w:rsidRPr="00996BED">
        <w:rPr>
          <w:rFonts w:eastAsia="Times New Roman" w:cs="Times New Roman"/>
          <w:bCs/>
          <w:color w:val="000000"/>
          <w:sz w:val="20"/>
          <w:szCs w:val="20"/>
          <w:lang w:eastAsia="fr-CH"/>
        </w:rPr>
        <w:t>1 : To improve the availability and use (effective coverage) of good-quality essential MNCH and nutrition services with a focus on perinatal care.</w:t>
      </w:r>
    </w:p>
    <w:p w:rsidR="00BD5B4E" w:rsidRPr="00391F6A" w:rsidRDefault="00BD5B4E" w:rsidP="00BD5B4E">
      <w:pPr>
        <w:spacing w:line="240" w:lineRule="auto"/>
        <w:rPr>
          <w:rFonts w:eastAsia="Times New Roman" w:cs="Times New Roman"/>
          <w:sz w:val="20"/>
          <w:szCs w:val="20"/>
          <w:lang w:eastAsia="fr-CH"/>
        </w:rPr>
      </w:pPr>
    </w:p>
    <w:tbl>
      <w:tblPr>
        <w:tblW w:w="0" w:type="auto"/>
        <w:tblLook w:val="04A0" w:firstRow="1" w:lastRow="0" w:firstColumn="1" w:lastColumn="0" w:noHBand="0" w:noVBand="1"/>
      </w:tblPr>
      <w:tblGrid>
        <w:gridCol w:w="1845"/>
        <w:gridCol w:w="7457"/>
      </w:tblGrid>
      <w:tr w:rsidR="00BD5B4E" w:rsidRPr="00391F6A" w:rsidTr="000E4322">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BD5B4E" w:rsidRPr="00391F6A" w:rsidRDefault="00BD5B4E" w:rsidP="000E4322">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Indicator Title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5449" w:rsidRDefault="00BB5449" w:rsidP="000E4322">
            <w:pPr>
              <w:spacing w:after="120" w:line="0" w:lineRule="atLeast"/>
              <w:rPr>
                <w:rFonts w:eastAsia="Times New Roman" w:cs="Times New Roman"/>
                <w:bCs/>
                <w:color w:val="000000"/>
                <w:sz w:val="20"/>
                <w:szCs w:val="20"/>
                <w:lang w:eastAsia="fr-CH"/>
              </w:rPr>
            </w:pPr>
            <w:r>
              <w:rPr>
                <w:rFonts w:eastAsia="Times New Roman" w:cs="Times New Roman"/>
                <w:bCs/>
                <w:color w:val="000000"/>
                <w:sz w:val="20"/>
                <w:szCs w:val="20"/>
                <w:lang w:eastAsia="fr-CH"/>
              </w:rPr>
              <w:t>1.</w:t>
            </w:r>
            <w:r w:rsidRPr="00391F6A">
              <w:rPr>
                <w:rFonts w:eastAsia="Times New Roman" w:cs="Times New Roman"/>
                <w:bCs/>
                <w:color w:val="000000"/>
                <w:sz w:val="20"/>
                <w:szCs w:val="20"/>
                <w:lang w:eastAsia="fr-CH"/>
              </w:rPr>
              <w:t xml:space="preserve">5. </w:t>
            </w:r>
            <w:r w:rsidR="00F422D6">
              <w:rPr>
                <w:rFonts w:eastAsia="Times New Roman" w:cs="Times New Roman"/>
                <w:bCs/>
                <w:color w:val="000000"/>
                <w:sz w:val="20"/>
                <w:szCs w:val="20"/>
                <w:lang w:eastAsia="fr-CH"/>
              </w:rPr>
              <w:t>The proportion</w:t>
            </w:r>
            <w:r w:rsidRPr="00391F6A">
              <w:rPr>
                <w:rFonts w:eastAsia="Times New Roman" w:cs="Times New Roman"/>
                <w:bCs/>
                <w:color w:val="000000"/>
                <w:sz w:val="20"/>
                <w:szCs w:val="20"/>
                <w:lang w:eastAsia="fr-CH"/>
              </w:rPr>
              <w:t xml:space="preserve"> of under five  children with severe acute malnutrition have recovered.</w:t>
            </w:r>
          </w:p>
          <w:p w:rsidR="00BD5B4E" w:rsidRPr="00391F6A" w:rsidRDefault="00BB5449" w:rsidP="000E4322">
            <w:pPr>
              <w:spacing w:after="120" w:line="0" w:lineRule="atLeast"/>
              <w:rPr>
                <w:rFonts w:eastAsia="Times New Roman" w:cs="Times New Roman"/>
                <w:sz w:val="20"/>
                <w:szCs w:val="20"/>
                <w:lang w:eastAsia="fr-CH"/>
              </w:rPr>
            </w:pPr>
            <w:r>
              <w:rPr>
                <w:rFonts w:eastAsia="Times New Roman" w:cs="Times New Roman"/>
                <w:bCs/>
                <w:color w:val="000000"/>
                <w:sz w:val="20"/>
                <w:szCs w:val="20"/>
                <w:lang w:eastAsia="fr-CH"/>
              </w:rPr>
              <w:t>“</w:t>
            </w:r>
            <w:r w:rsidR="00BD5B4E" w:rsidRPr="00391F6A">
              <w:rPr>
                <w:rFonts w:eastAsia="Times New Roman" w:cs="Times New Roman"/>
                <w:sz w:val="20"/>
                <w:szCs w:val="20"/>
                <w:lang w:eastAsia="fr-CH"/>
              </w:rPr>
              <w:t>Severe acute malnutrition (SAM) cure rate</w:t>
            </w:r>
            <w:r>
              <w:rPr>
                <w:rFonts w:eastAsia="Times New Roman" w:cs="Times New Roman"/>
                <w:sz w:val="20"/>
                <w:szCs w:val="20"/>
                <w:lang w:eastAsia="fr-CH"/>
              </w:rPr>
              <w:t>”</w:t>
            </w:r>
          </w:p>
        </w:tc>
      </w:tr>
      <w:tr w:rsidR="00BD5B4E" w:rsidRPr="00391F6A" w:rsidTr="000E4322">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BD5B4E" w:rsidRPr="00391F6A" w:rsidRDefault="00BD5B4E" w:rsidP="000E4322">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Definition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D5B4E" w:rsidRPr="00391F6A" w:rsidRDefault="00BD5B4E" w:rsidP="000E4322">
            <w:pPr>
              <w:spacing w:after="0"/>
              <w:jc w:val="both"/>
              <w:rPr>
                <w:sz w:val="20"/>
                <w:szCs w:val="20"/>
              </w:rPr>
            </w:pPr>
            <w:r w:rsidRPr="00391F6A">
              <w:rPr>
                <w:sz w:val="20"/>
                <w:szCs w:val="20"/>
              </w:rPr>
              <w:t>Proportion of under five children recovered from SAM.</w:t>
            </w:r>
          </w:p>
          <w:p w:rsidR="00BD5B4E" w:rsidRPr="00391F6A" w:rsidRDefault="00BD5B4E" w:rsidP="000E4322">
            <w:pPr>
              <w:spacing w:after="0"/>
              <w:jc w:val="both"/>
              <w:rPr>
                <w:sz w:val="20"/>
                <w:szCs w:val="20"/>
              </w:rPr>
            </w:pPr>
          </w:p>
          <w:p w:rsidR="00BD5B4E" w:rsidRPr="00391F6A" w:rsidRDefault="00BD5B4E" w:rsidP="000E4322">
            <w:pPr>
              <w:spacing w:after="0"/>
              <w:jc w:val="both"/>
              <w:rPr>
                <w:sz w:val="20"/>
                <w:szCs w:val="20"/>
              </w:rPr>
            </w:pPr>
            <w:r w:rsidRPr="00391F6A">
              <w:rPr>
                <w:sz w:val="20"/>
                <w:szCs w:val="20"/>
              </w:rPr>
              <w:t>SAM diagnosis is based on national and/or international guidelines : either mid upper arm circumference &lt; 115mm or Weight for height index &lt;-3 standard deviation or bilateral oedema.</w:t>
            </w:r>
          </w:p>
          <w:p w:rsidR="00BD5B4E" w:rsidRPr="00391F6A" w:rsidRDefault="00BD5B4E" w:rsidP="000E4322">
            <w:pPr>
              <w:spacing w:after="0"/>
              <w:jc w:val="both"/>
              <w:rPr>
                <w:sz w:val="20"/>
                <w:szCs w:val="20"/>
              </w:rPr>
            </w:pPr>
          </w:p>
          <w:p w:rsidR="00BD5B4E" w:rsidRPr="00391F6A" w:rsidRDefault="00BD5B4E" w:rsidP="000E4322">
            <w:pPr>
              <w:spacing w:after="0" w:line="240" w:lineRule="auto"/>
              <w:jc w:val="both"/>
              <w:rPr>
                <w:rFonts w:eastAsia="Times New Roman" w:cs="Arial"/>
                <w:sz w:val="20"/>
                <w:szCs w:val="20"/>
                <w:lang w:val="en-US" w:eastAsia="fr-CH"/>
              </w:rPr>
            </w:pPr>
            <w:r w:rsidRPr="00391F6A">
              <w:rPr>
                <w:sz w:val="20"/>
                <w:szCs w:val="20"/>
              </w:rPr>
              <w:t xml:space="preserve">Recovered : </w:t>
            </w:r>
            <w:r w:rsidRPr="00391F6A">
              <w:rPr>
                <w:rFonts w:eastAsia="Times New Roman" w:cs="Arial"/>
                <w:sz w:val="20"/>
                <w:szCs w:val="20"/>
                <w:lang w:val="en-US" w:eastAsia="fr-CH"/>
              </w:rPr>
              <w:t xml:space="preserve">beneficiary who has reached the discharge criteria of success defined for the CMAM program. </w:t>
            </w:r>
          </w:p>
          <w:p w:rsidR="00BD5B4E" w:rsidRPr="00391F6A" w:rsidRDefault="00BD5B4E" w:rsidP="000E4322">
            <w:pPr>
              <w:spacing w:after="0" w:line="240" w:lineRule="auto"/>
              <w:jc w:val="both"/>
              <w:rPr>
                <w:rFonts w:eastAsia="Times New Roman" w:cs="Arial"/>
                <w:sz w:val="20"/>
                <w:szCs w:val="20"/>
                <w:lang w:val="en-US" w:eastAsia="fr-CH"/>
              </w:rPr>
            </w:pPr>
          </w:p>
          <w:p w:rsidR="00BD5B4E" w:rsidRPr="00391F6A" w:rsidRDefault="00BD5B4E" w:rsidP="000E4322">
            <w:pPr>
              <w:spacing w:after="0" w:line="240" w:lineRule="auto"/>
              <w:jc w:val="both"/>
              <w:rPr>
                <w:rFonts w:eastAsia="Times New Roman" w:cs="Arial"/>
                <w:sz w:val="20"/>
                <w:szCs w:val="20"/>
                <w:lang w:val="en-US" w:eastAsia="fr-CH"/>
              </w:rPr>
            </w:pPr>
            <w:r w:rsidRPr="00391F6A">
              <w:rPr>
                <w:rFonts w:eastAsia="Times New Roman" w:cs="Arial"/>
                <w:sz w:val="20"/>
                <w:szCs w:val="20"/>
                <w:lang w:val="en-US" w:eastAsia="fr-CH"/>
              </w:rPr>
              <w:t xml:space="preserve">CMAM: Community-based management of acute </w:t>
            </w:r>
            <w:bookmarkStart w:id="0" w:name="_GoBack"/>
            <w:bookmarkEnd w:id="0"/>
            <w:r w:rsidRPr="00391F6A">
              <w:rPr>
                <w:rFonts w:eastAsia="Times New Roman" w:cs="Arial"/>
                <w:sz w:val="20"/>
                <w:szCs w:val="20"/>
                <w:lang w:val="en-US" w:eastAsia="fr-CH"/>
              </w:rPr>
              <w:t>malnutrition.</w:t>
            </w:r>
          </w:p>
          <w:p w:rsidR="00BD5B4E" w:rsidRPr="00391F6A" w:rsidRDefault="00BD5B4E" w:rsidP="000E4322">
            <w:pPr>
              <w:spacing w:after="0" w:line="240" w:lineRule="auto"/>
              <w:jc w:val="both"/>
              <w:rPr>
                <w:rFonts w:eastAsia="Times New Roman" w:cs="Arial"/>
                <w:sz w:val="20"/>
                <w:szCs w:val="20"/>
                <w:lang w:val="en-US" w:eastAsia="fr-CH"/>
              </w:rPr>
            </w:pPr>
          </w:p>
          <w:p w:rsidR="00BD5B4E" w:rsidRPr="00391F6A" w:rsidRDefault="00BD5B4E" w:rsidP="004C4C8F">
            <w:pPr>
              <w:spacing w:after="0" w:line="240" w:lineRule="auto"/>
              <w:jc w:val="both"/>
              <w:rPr>
                <w:sz w:val="20"/>
                <w:szCs w:val="20"/>
              </w:rPr>
            </w:pPr>
            <w:r w:rsidRPr="00391F6A">
              <w:rPr>
                <w:sz w:val="20"/>
                <w:szCs w:val="20"/>
              </w:rPr>
              <w:t>Discharged criteria</w:t>
            </w:r>
            <w:r w:rsidR="004C4C8F">
              <w:rPr>
                <w:sz w:val="20"/>
                <w:szCs w:val="20"/>
              </w:rPr>
              <w:t xml:space="preserve"> (final exit)</w:t>
            </w:r>
            <w:r w:rsidRPr="00391F6A">
              <w:rPr>
                <w:sz w:val="20"/>
                <w:szCs w:val="20"/>
              </w:rPr>
              <w:t xml:space="preserve"> should be according to national guidelines, or international guidelines where no national guidelines are available, and should be specified when reporting performance indicators</w:t>
            </w:r>
            <w:r w:rsidRPr="00391F6A">
              <w:rPr>
                <w:rFonts w:eastAsia="Times New Roman" w:cs="Arial"/>
                <w:sz w:val="20"/>
                <w:szCs w:val="20"/>
                <w:lang w:val="en-US" w:eastAsia="fr-CH"/>
              </w:rPr>
              <w:t xml:space="preserve"> (</w:t>
            </w:r>
            <w:r w:rsidRPr="00391F6A">
              <w:rPr>
                <w:sz w:val="20"/>
                <w:szCs w:val="20"/>
              </w:rPr>
              <w:t>i.e. either MUAC &gt; 125 or Weight for heig</w:t>
            </w:r>
            <w:r w:rsidR="00BB5449">
              <w:rPr>
                <w:sz w:val="20"/>
                <w:szCs w:val="20"/>
              </w:rPr>
              <w:t xml:space="preserve">ht index &gt; -2  </w:t>
            </w:r>
            <w:r w:rsidR="00BB5449" w:rsidRPr="00391F6A">
              <w:rPr>
                <w:sz w:val="20"/>
                <w:szCs w:val="20"/>
              </w:rPr>
              <w:t>standard deviation</w:t>
            </w:r>
            <w:r w:rsidR="00BB5449">
              <w:rPr>
                <w:sz w:val="20"/>
                <w:szCs w:val="20"/>
              </w:rPr>
              <w:t xml:space="preserve"> or according to national guidelines)</w:t>
            </w:r>
          </w:p>
        </w:tc>
      </w:tr>
      <w:tr w:rsidR="00BD5B4E" w:rsidRPr="00391F6A" w:rsidTr="000E4322">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BD5B4E" w:rsidRDefault="00BD5B4E" w:rsidP="000E4322">
            <w:pPr>
              <w:spacing w:after="120" w:line="0" w:lineRule="atLeast"/>
              <w:rPr>
                <w:rFonts w:eastAsia="Times New Roman" w:cs="Times New Roman"/>
                <w:bCs/>
                <w:color w:val="000000"/>
                <w:sz w:val="20"/>
                <w:szCs w:val="20"/>
                <w:lang w:eastAsia="fr-CH"/>
              </w:rPr>
            </w:pPr>
            <w:r w:rsidRPr="00391F6A">
              <w:rPr>
                <w:rFonts w:eastAsia="Times New Roman" w:cs="Times New Roman"/>
                <w:bCs/>
                <w:color w:val="000000"/>
                <w:sz w:val="20"/>
                <w:szCs w:val="20"/>
                <w:lang w:eastAsia="fr-CH"/>
              </w:rPr>
              <w:t xml:space="preserve">What does the indicator measure exactly </w:t>
            </w:r>
          </w:p>
          <w:p w:rsidR="00BD5B4E" w:rsidRPr="00391F6A" w:rsidRDefault="00BD5B4E" w:rsidP="000E4322">
            <w:pPr>
              <w:spacing w:after="120" w:line="0" w:lineRule="atLeast"/>
              <w:rPr>
                <w:rFonts w:eastAsia="Times New Roman" w:cs="Times New Roman"/>
                <w:sz w:val="20"/>
                <w:szCs w:val="20"/>
                <w:lang w:eastAsia="fr-CH"/>
              </w:rPr>
            </w:pPr>
            <w:r w:rsidRPr="009514B8">
              <w:rPr>
                <w:rFonts w:ascii="Arial" w:hAnsi="Arial" w:cs="Arial"/>
                <w:noProof/>
                <w:color w:val="7F7F7F" w:themeColor="text1" w:themeTint="80"/>
                <w:sz w:val="18"/>
                <w:szCs w:val="18"/>
                <w:lang w:val="fr-CH" w:eastAsia="fr-CH"/>
              </w:rPr>
              <w:drawing>
                <wp:inline distT="0" distB="0" distL="0" distR="0" wp14:anchorId="6D4CF45A" wp14:editId="3C471941">
                  <wp:extent cx="495300" cy="495300"/>
                  <wp:effectExtent l="0" t="0" r="0" b="0"/>
                  <wp:docPr id="3"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2 No hung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699" cy="495699"/>
                          </a:xfrm>
                          <a:prstGeom prst="rect">
                            <a:avLst/>
                          </a:prstGeom>
                        </pic:spPr>
                      </pic:pic>
                    </a:graphicData>
                  </a:graphic>
                </wp:inline>
              </w:drawing>
            </w:r>
            <w:r w:rsidRPr="00AB027D">
              <w:rPr>
                <w:rFonts w:ascii="Arial" w:hAnsi="Arial" w:cs="Arial"/>
                <w:noProof/>
                <w:sz w:val="18"/>
                <w:szCs w:val="18"/>
                <w:lang w:val="fr-CH" w:eastAsia="fr-CH"/>
              </w:rPr>
              <w:drawing>
                <wp:inline distT="0" distB="0" distL="0" distR="0" wp14:anchorId="0EA0B67F" wp14:editId="4685DE7C">
                  <wp:extent cx="495300" cy="495300"/>
                  <wp:effectExtent l="0" t="0" r="0"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3 Good health and well-be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699" cy="495699"/>
                          </a:xfrm>
                          <a:prstGeom prst="rect">
                            <a:avLst/>
                          </a:prstGeom>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D5B4E" w:rsidRPr="00391F6A" w:rsidRDefault="00BD5B4E" w:rsidP="000E4322">
            <w:pPr>
              <w:spacing w:after="120" w:line="0" w:lineRule="atLeast"/>
              <w:jc w:val="both"/>
              <w:rPr>
                <w:rFonts w:eastAsia="Times New Roman" w:cs="Times New Roman"/>
                <w:bCs/>
                <w:iCs/>
                <w:color w:val="000000"/>
                <w:sz w:val="20"/>
                <w:szCs w:val="20"/>
                <w:lang w:eastAsia="fr-CH"/>
              </w:rPr>
            </w:pPr>
            <w:r w:rsidRPr="00391F6A">
              <w:rPr>
                <w:rFonts w:eastAsia="Times New Roman" w:cs="Times New Roman"/>
                <w:bCs/>
                <w:iCs/>
                <w:color w:val="000000"/>
                <w:sz w:val="20"/>
                <w:szCs w:val="20"/>
                <w:lang w:eastAsia="fr-CH"/>
              </w:rPr>
              <w:t>This indicator measures the effectiveness of secondary prevention (treatment/case management) of SAM case management. Programmes addressing the management of severe acute malnutrition should comprise inpatient care for individuals with medical complications and all infants &lt;6 months of age with acute malnutrition and decentralised outpatient care for children with no medical complications.</w:t>
            </w:r>
          </w:p>
        </w:tc>
      </w:tr>
      <w:tr w:rsidR="00BD5B4E" w:rsidRPr="00391F6A" w:rsidTr="000E4322">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BD5B4E" w:rsidRPr="00391F6A" w:rsidRDefault="00BD5B4E" w:rsidP="000E4322">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 xml:space="preserve">Unit and disaggregation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D5B4E" w:rsidRPr="00391F6A" w:rsidRDefault="00BD5B4E" w:rsidP="000E4322">
            <w:pPr>
              <w:spacing w:after="120" w:line="240" w:lineRule="auto"/>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Unit:</w:t>
            </w:r>
            <w:r w:rsidRPr="00391F6A">
              <w:rPr>
                <w:rFonts w:eastAsia="Times New Roman" w:cs="Times New Roman"/>
                <w:iCs/>
                <w:color w:val="000000"/>
                <w:sz w:val="20"/>
                <w:szCs w:val="20"/>
                <w:lang w:eastAsia="fr-CH"/>
              </w:rPr>
              <w:t xml:space="preserve"> Percentage.  </w:t>
            </w:r>
          </w:p>
          <w:p w:rsidR="00BD5B4E" w:rsidRPr="00391F6A" w:rsidRDefault="00BD5B4E" w:rsidP="000E4322">
            <w:pPr>
              <w:spacing w:after="120" w:line="0" w:lineRule="atLeast"/>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Disaggregation:</w:t>
            </w:r>
            <w:r w:rsidRPr="00391F6A">
              <w:rPr>
                <w:rFonts w:eastAsia="Times New Roman" w:cs="Times New Roman"/>
                <w:iCs/>
                <w:color w:val="000000"/>
                <w:sz w:val="20"/>
                <w:szCs w:val="20"/>
                <w:lang w:eastAsia="fr-CH"/>
              </w:rPr>
              <w:t xml:space="preserve"> by age, gender, district, state where appropriate</w:t>
            </w:r>
          </w:p>
        </w:tc>
      </w:tr>
      <w:tr w:rsidR="00BD5B4E" w:rsidRPr="00391F6A" w:rsidTr="000E4322">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BD5B4E" w:rsidRPr="00391F6A" w:rsidRDefault="00BD5B4E" w:rsidP="000E4322">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 xml:space="preserve">Calculation modalities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D5B4E" w:rsidRPr="00391F6A" w:rsidRDefault="00BD5B4E" w:rsidP="000E4322">
            <w:pPr>
              <w:spacing w:after="0"/>
              <w:rPr>
                <w:rFonts w:eastAsia="Calibri" w:cs="Times New Roman"/>
                <w:sz w:val="20"/>
                <w:szCs w:val="20"/>
              </w:rPr>
            </w:pPr>
            <w:r w:rsidRPr="00391F6A">
              <w:rPr>
                <w:rFonts w:eastAsia="Calibri" w:cs="Times New Roman"/>
                <w:sz w:val="20"/>
                <w:szCs w:val="20"/>
              </w:rPr>
              <w:t xml:space="preserve">Number of children who recovered from SAM x 100/Number of children with SAM discharged from the CMAM programme. </w:t>
            </w:r>
          </w:p>
          <w:p w:rsidR="00BD5B4E" w:rsidRPr="00391F6A" w:rsidRDefault="00BD5B4E" w:rsidP="000E4322">
            <w:pPr>
              <w:spacing w:after="0"/>
              <w:rPr>
                <w:rFonts w:eastAsia="Calibri" w:cs="Times New Roman"/>
                <w:sz w:val="20"/>
                <w:szCs w:val="20"/>
              </w:rPr>
            </w:pPr>
          </w:p>
          <w:p w:rsidR="00BD5B4E" w:rsidRPr="00391F6A" w:rsidRDefault="00BD5B4E" w:rsidP="000E4322">
            <w:pPr>
              <w:spacing w:after="0"/>
              <w:rPr>
                <w:rFonts w:eastAsia="Calibri" w:cs="Times New Roman"/>
                <w:sz w:val="20"/>
                <w:szCs w:val="20"/>
              </w:rPr>
            </w:pPr>
            <w:r w:rsidRPr="00391F6A">
              <w:rPr>
                <w:rFonts w:eastAsia="Calibri" w:cs="Times New Roman"/>
                <w:sz w:val="20"/>
                <w:szCs w:val="20"/>
              </w:rPr>
              <w:t xml:space="preserve">The total number of discharged children is made up </w:t>
            </w:r>
            <w:r w:rsidR="004C4C8F">
              <w:rPr>
                <w:rFonts w:eastAsia="Calibri" w:cs="Times New Roman"/>
                <w:sz w:val="20"/>
                <w:szCs w:val="20"/>
              </w:rPr>
              <w:t>of all who have recovered, died</w:t>
            </w:r>
            <w:r w:rsidRPr="00391F6A">
              <w:rPr>
                <w:rFonts w:eastAsia="Calibri" w:cs="Times New Roman"/>
                <w:sz w:val="20"/>
                <w:szCs w:val="20"/>
              </w:rPr>
              <w:t xml:space="preserve"> </w:t>
            </w:r>
            <w:r w:rsidR="004C4C8F">
              <w:rPr>
                <w:rFonts w:eastAsia="Calibri" w:cs="Times New Roman"/>
                <w:sz w:val="20"/>
                <w:szCs w:val="20"/>
              </w:rPr>
              <w:t>and defaulted</w:t>
            </w:r>
          </w:p>
          <w:p w:rsidR="00BD5B4E" w:rsidRPr="00391F6A" w:rsidRDefault="00BD5B4E" w:rsidP="000E4322">
            <w:pPr>
              <w:spacing w:after="0"/>
              <w:rPr>
                <w:rFonts w:eastAsia="Times New Roman" w:cs="Times New Roman"/>
                <w:sz w:val="20"/>
                <w:szCs w:val="20"/>
                <w:lang w:eastAsia="fr-CH"/>
              </w:rPr>
            </w:pPr>
            <w:r w:rsidRPr="00391F6A">
              <w:rPr>
                <w:rFonts w:eastAsia="Calibri" w:cs="Times New Roman"/>
                <w:sz w:val="20"/>
                <w:szCs w:val="20"/>
              </w:rPr>
              <w:t xml:space="preserve"> </w:t>
            </w:r>
          </w:p>
        </w:tc>
      </w:tr>
      <w:tr w:rsidR="00BD5B4E" w:rsidRPr="00391F6A" w:rsidTr="000E4322">
        <w:trPr>
          <w:trHeight w:val="276"/>
        </w:trPr>
        <w:tc>
          <w:tcPr>
            <w:tcW w:w="0" w:type="auto"/>
            <w:tcBorders>
              <w:top w:val="single" w:sz="4" w:space="0" w:color="000000"/>
              <w:left w:val="single" w:sz="4" w:space="0" w:color="000000"/>
              <w:bottom w:val="single" w:sz="4" w:space="0" w:color="auto"/>
              <w:right w:val="single" w:sz="4" w:space="0" w:color="000000"/>
            </w:tcBorders>
            <w:shd w:val="clear" w:color="auto" w:fill="DBE5F1"/>
            <w:tcMar>
              <w:top w:w="0" w:type="dxa"/>
              <w:left w:w="115" w:type="dxa"/>
              <w:bottom w:w="0" w:type="dxa"/>
              <w:right w:w="115" w:type="dxa"/>
            </w:tcMar>
            <w:hideMark/>
          </w:tcPr>
          <w:p w:rsidR="00BD5B4E" w:rsidRPr="00391F6A" w:rsidRDefault="00BD5B4E" w:rsidP="000E4322">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 xml:space="preserve">Baseline </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0" w:type="dxa"/>
              <w:left w:w="115" w:type="dxa"/>
              <w:bottom w:w="0" w:type="dxa"/>
              <w:right w:w="115" w:type="dxa"/>
            </w:tcMar>
            <w:hideMark/>
          </w:tcPr>
          <w:p w:rsidR="00BD5B4E" w:rsidRPr="00391F6A" w:rsidRDefault="00BD5B4E" w:rsidP="000E4322">
            <w:pPr>
              <w:spacing w:after="0" w:line="0" w:lineRule="atLeast"/>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No baseline survey required</w:t>
            </w:r>
          </w:p>
        </w:tc>
      </w:tr>
      <w:tr w:rsidR="00BD5B4E" w:rsidRPr="00391F6A" w:rsidTr="000E4322">
        <w:trPr>
          <w:trHeight w:val="81"/>
        </w:trPr>
        <w:tc>
          <w:tcPr>
            <w:tcW w:w="0" w:type="auto"/>
            <w:tcBorders>
              <w:top w:val="single" w:sz="4" w:space="0" w:color="auto"/>
              <w:left w:val="single" w:sz="4" w:space="0" w:color="000000"/>
              <w:right w:val="single" w:sz="4" w:space="0" w:color="000000"/>
            </w:tcBorders>
            <w:shd w:val="clear" w:color="auto" w:fill="DBE5F1"/>
            <w:tcMar>
              <w:top w:w="0" w:type="dxa"/>
              <w:left w:w="115" w:type="dxa"/>
              <w:bottom w:w="0" w:type="dxa"/>
              <w:right w:w="115" w:type="dxa"/>
            </w:tcMar>
          </w:tcPr>
          <w:p w:rsidR="00BD5B4E" w:rsidRPr="00391F6A" w:rsidRDefault="00BD5B4E" w:rsidP="000E4322">
            <w:pPr>
              <w:spacing w:after="120" w:line="0" w:lineRule="atLeast"/>
              <w:rPr>
                <w:rFonts w:eastAsia="Times New Roman" w:cs="Times New Roman"/>
                <w:bCs/>
                <w:color w:val="000000"/>
                <w:sz w:val="20"/>
                <w:szCs w:val="20"/>
                <w:lang w:eastAsia="fr-CH"/>
              </w:rPr>
            </w:pPr>
          </w:p>
        </w:tc>
        <w:tc>
          <w:tcPr>
            <w:tcW w:w="0" w:type="auto"/>
            <w:tcBorders>
              <w:top w:val="single" w:sz="4" w:space="0" w:color="auto"/>
              <w:left w:val="single" w:sz="4" w:space="0" w:color="000000"/>
              <w:right w:val="single" w:sz="4" w:space="0" w:color="000000"/>
            </w:tcBorders>
            <w:shd w:val="clear" w:color="auto" w:fill="FFFFFF"/>
            <w:tcMar>
              <w:top w:w="0" w:type="dxa"/>
              <w:left w:w="115" w:type="dxa"/>
              <w:bottom w:w="0" w:type="dxa"/>
              <w:right w:w="115" w:type="dxa"/>
            </w:tcMar>
          </w:tcPr>
          <w:p w:rsidR="00BD5B4E" w:rsidRPr="00391F6A" w:rsidRDefault="00BD5B4E" w:rsidP="000E4322">
            <w:pPr>
              <w:spacing w:after="120" w:line="0" w:lineRule="atLeast"/>
              <w:rPr>
                <w:sz w:val="20"/>
                <w:szCs w:val="20"/>
              </w:rPr>
            </w:pPr>
            <w:r w:rsidRPr="00391F6A">
              <w:rPr>
                <w:rFonts w:eastAsia="Times New Roman" w:cs="Times New Roman"/>
                <w:iCs/>
                <w:color w:val="000000"/>
                <w:sz w:val="20"/>
                <w:szCs w:val="20"/>
                <w:lang w:eastAsia="fr-CH"/>
              </w:rPr>
              <w:t xml:space="preserve">Routine facility information systems from both outpatient </w:t>
            </w:r>
            <w:r w:rsidRPr="00391F6A">
              <w:rPr>
                <w:rFonts w:eastAsia="Times New Roman" w:cs="Times New Roman"/>
                <w:iCs/>
                <w:color w:val="000000"/>
                <w:sz w:val="20"/>
                <w:szCs w:val="20"/>
                <w:lang w:val="en-US" w:eastAsia="fr-CH"/>
              </w:rPr>
              <w:t>therapeutic</w:t>
            </w:r>
            <w:r w:rsidRPr="00391F6A">
              <w:rPr>
                <w:rFonts w:eastAsia="Times New Roman" w:cs="Times New Roman"/>
                <w:iCs/>
                <w:color w:val="000000"/>
                <w:sz w:val="20"/>
                <w:szCs w:val="20"/>
                <w:lang w:eastAsia="fr-CH"/>
              </w:rPr>
              <w:t xml:space="preserve"> program (OTP) and in-patient facility (IPF) for simple SAM and complicated SAM respectively.</w:t>
            </w:r>
          </w:p>
        </w:tc>
      </w:tr>
      <w:tr w:rsidR="00BD5B4E" w:rsidRPr="00391F6A" w:rsidTr="000E4322">
        <w:tc>
          <w:tcPr>
            <w:tcW w:w="0" w:type="auto"/>
            <w:vMerge w:val="restart"/>
            <w:tcBorders>
              <w:left w:val="single" w:sz="4" w:space="0" w:color="000000"/>
              <w:right w:val="single" w:sz="4" w:space="0" w:color="000000"/>
            </w:tcBorders>
            <w:shd w:val="clear" w:color="auto" w:fill="DBE5F1"/>
            <w:tcMar>
              <w:top w:w="0" w:type="dxa"/>
              <w:left w:w="115" w:type="dxa"/>
              <w:bottom w:w="0" w:type="dxa"/>
              <w:right w:w="115" w:type="dxa"/>
            </w:tcMar>
            <w:hideMark/>
          </w:tcPr>
          <w:p w:rsidR="00BD5B4E" w:rsidRPr="00391F6A" w:rsidRDefault="00BD5B4E" w:rsidP="000E4322">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Data collection, sources and methods</w:t>
            </w:r>
          </w:p>
        </w:tc>
        <w:tc>
          <w:tcPr>
            <w:tcW w:w="0" w:type="auto"/>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hideMark/>
          </w:tcPr>
          <w:p w:rsidR="00BD5B4E" w:rsidRPr="00391F6A" w:rsidRDefault="00BD5B4E" w:rsidP="000E4322">
            <w:pPr>
              <w:spacing w:after="120" w:line="0" w:lineRule="atLeast"/>
              <w:rPr>
                <w:sz w:val="20"/>
                <w:szCs w:val="20"/>
              </w:rPr>
            </w:pPr>
            <w:r w:rsidRPr="00391F6A">
              <w:rPr>
                <w:sz w:val="20"/>
                <w:szCs w:val="20"/>
              </w:rPr>
              <w:t>Data collection &amp; processing : M&amp;E assistants with support of M&amp;E officers and project managers</w:t>
            </w:r>
          </w:p>
          <w:p w:rsidR="00BD5B4E" w:rsidRPr="00391F6A" w:rsidRDefault="00BD5B4E" w:rsidP="000E4322">
            <w:pPr>
              <w:spacing w:after="120" w:line="0" w:lineRule="atLeast"/>
              <w:rPr>
                <w:rFonts w:eastAsia="Times New Roman" w:cs="Times New Roman"/>
                <w:iCs/>
                <w:color w:val="000000"/>
                <w:sz w:val="20"/>
                <w:szCs w:val="20"/>
                <w:lang w:eastAsia="fr-CH"/>
              </w:rPr>
            </w:pPr>
            <w:r w:rsidRPr="00391F6A">
              <w:rPr>
                <w:sz w:val="20"/>
                <w:szCs w:val="20"/>
              </w:rPr>
              <w:t xml:space="preserve">Data analysis &amp; interpretation : project manager, M&amp;E officers with support of health coordinators, regional or M&amp;E advisors </w:t>
            </w:r>
          </w:p>
        </w:tc>
      </w:tr>
      <w:tr w:rsidR="00BD5B4E" w:rsidRPr="00391F6A" w:rsidTr="000E4322">
        <w:tc>
          <w:tcPr>
            <w:tcW w:w="0" w:type="auto"/>
            <w:vMerge/>
            <w:tcBorders>
              <w:left w:val="single" w:sz="4" w:space="0" w:color="000000"/>
              <w:bottom w:val="single" w:sz="4" w:space="0" w:color="auto"/>
              <w:right w:val="single" w:sz="4" w:space="0" w:color="000000"/>
            </w:tcBorders>
            <w:vAlign w:val="center"/>
            <w:hideMark/>
          </w:tcPr>
          <w:p w:rsidR="00BD5B4E" w:rsidRPr="00391F6A" w:rsidRDefault="00BD5B4E" w:rsidP="000E4322">
            <w:pPr>
              <w:spacing w:after="0" w:line="240" w:lineRule="auto"/>
              <w:rPr>
                <w:rFonts w:eastAsia="Times New Roman" w:cs="Times New Roman"/>
                <w:sz w:val="20"/>
                <w:szCs w:val="20"/>
                <w:lang w:eastAsia="fr-CH"/>
              </w:rPr>
            </w:pPr>
          </w:p>
        </w:tc>
        <w:tc>
          <w:tcPr>
            <w:tcW w:w="0" w:type="auto"/>
            <w:tcBorders>
              <w:top w:val="single" w:sz="4" w:space="0" w:color="auto"/>
              <w:left w:val="single" w:sz="4" w:space="0" w:color="000000"/>
              <w:bottom w:val="single" w:sz="4" w:space="0" w:color="auto"/>
              <w:right w:val="single" w:sz="4" w:space="0" w:color="000000"/>
            </w:tcBorders>
            <w:shd w:val="clear" w:color="auto" w:fill="FFFFFF"/>
            <w:tcMar>
              <w:top w:w="0" w:type="dxa"/>
              <w:left w:w="115" w:type="dxa"/>
              <w:bottom w:w="0" w:type="dxa"/>
              <w:right w:w="115" w:type="dxa"/>
            </w:tcMar>
            <w:hideMark/>
          </w:tcPr>
          <w:p w:rsidR="00BD5B4E" w:rsidRPr="00391F6A" w:rsidRDefault="00BD5B4E" w:rsidP="000E4322">
            <w:pPr>
              <w:spacing w:after="120" w:line="0" w:lineRule="atLeast"/>
              <w:rPr>
                <w:sz w:val="20"/>
                <w:szCs w:val="20"/>
              </w:rPr>
            </w:pPr>
            <w:r w:rsidRPr="00391F6A">
              <w:rPr>
                <w:sz w:val="20"/>
                <w:szCs w:val="20"/>
              </w:rPr>
              <w:t>Data collection &amp; processing : M&amp;E assistants with support of M&amp;E officers and project managers</w:t>
            </w:r>
          </w:p>
          <w:p w:rsidR="00BD5B4E" w:rsidRPr="00391F6A" w:rsidRDefault="00BD5B4E" w:rsidP="000E4322">
            <w:pPr>
              <w:spacing w:after="120" w:line="0" w:lineRule="atLeast"/>
              <w:rPr>
                <w:sz w:val="20"/>
                <w:szCs w:val="20"/>
              </w:rPr>
            </w:pPr>
            <w:r w:rsidRPr="00391F6A">
              <w:rPr>
                <w:sz w:val="20"/>
                <w:szCs w:val="20"/>
              </w:rPr>
              <w:t>Data analysis &amp; interpretation : project manager, M&amp;E officers with support of health coordinators, regional or M&amp;E advisors</w:t>
            </w:r>
          </w:p>
        </w:tc>
      </w:tr>
      <w:tr w:rsidR="00BD5B4E" w:rsidRPr="00391F6A" w:rsidTr="000E4322">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BD5B4E" w:rsidRPr="00391F6A" w:rsidRDefault="00BD5B4E" w:rsidP="000E4322">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 xml:space="preserve">Frequency and timing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D5B4E" w:rsidRPr="00391F6A" w:rsidRDefault="00BD5B4E" w:rsidP="000E4322">
            <w:pPr>
              <w:spacing w:after="120" w:line="0" w:lineRule="atLeast"/>
              <w:jc w:val="both"/>
              <w:rPr>
                <w:rFonts w:eastAsia="Times New Roman" w:cs="Times New Roman"/>
                <w:iCs/>
                <w:color w:val="000000"/>
                <w:sz w:val="20"/>
                <w:szCs w:val="20"/>
                <w:lang w:eastAsia="fr-CH"/>
              </w:rPr>
            </w:pPr>
            <w:r w:rsidRPr="00391F6A">
              <w:rPr>
                <w:rFonts w:eastAsia="Times New Roman" w:cs="Times New Roman"/>
                <w:iCs/>
                <w:color w:val="000000"/>
                <w:sz w:val="20"/>
                <w:szCs w:val="20"/>
                <w:lang w:eastAsia="fr-CH"/>
              </w:rPr>
              <w:t xml:space="preserve">Monthly, quarterly and annual monitoring at delegation level. </w:t>
            </w:r>
          </w:p>
          <w:p w:rsidR="00BD5B4E" w:rsidRPr="00391F6A" w:rsidRDefault="00BD5B4E" w:rsidP="000E4322">
            <w:pPr>
              <w:spacing w:after="120" w:line="0" w:lineRule="atLeast"/>
              <w:jc w:val="both"/>
              <w:rPr>
                <w:rFonts w:eastAsia="Times New Roman" w:cs="Times New Roman"/>
                <w:sz w:val="20"/>
                <w:szCs w:val="20"/>
                <w:lang w:eastAsia="fr-CH"/>
              </w:rPr>
            </w:pPr>
            <w:r w:rsidRPr="00391F6A">
              <w:rPr>
                <w:rFonts w:eastAsia="Times New Roman" w:cs="Times New Roman"/>
                <w:iCs/>
                <w:color w:val="000000"/>
                <w:sz w:val="20"/>
                <w:szCs w:val="20"/>
                <w:lang w:eastAsia="fr-CH"/>
              </w:rPr>
              <w:t>Reporting to HQ on quarterly basis.</w:t>
            </w:r>
          </w:p>
        </w:tc>
      </w:tr>
      <w:tr w:rsidR="00BD5B4E" w:rsidRPr="00391F6A" w:rsidTr="000E432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BD5B4E" w:rsidRPr="00391F6A" w:rsidRDefault="00BD5B4E" w:rsidP="000E4322">
            <w:pPr>
              <w:spacing w:after="120" w:line="240" w:lineRule="auto"/>
              <w:rPr>
                <w:rFonts w:eastAsia="Times New Roman" w:cs="Times New Roman"/>
                <w:sz w:val="20"/>
                <w:szCs w:val="20"/>
                <w:lang w:eastAsia="fr-CH"/>
              </w:rPr>
            </w:pPr>
            <w:r w:rsidRPr="00391F6A">
              <w:rPr>
                <w:rFonts w:eastAsia="Times New Roman" w:cs="Times New Roman"/>
                <w:bCs/>
                <w:color w:val="000000"/>
                <w:sz w:val="20"/>
                <w:szCs w:val="20"/>
                <w:lang w:eastAsia="fr-CH"/>
              </w:rPr>
              <w:t xml:space="preserve">Data quality issues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D5B4E" w:rsidRPr="00391F6A" w:rsidRDefault="00BD5B4E" w:rsidP="000E4322">
            <w:pPr>
              <w:spacing w:after="120" w:line="240" w:lineRule="auto"/>
              <w:jc w:val="both"/>
              <w:rPr>
                <w:rFonts w:eastAsia="Times New Roman" w:cs="Times New Roman"/>
                <w:iCs/>
                <w:color w:val="000000"/>
                <w:sz w:val="20"/>
                <w:szCs w:val="20"/>
                <w:lang w:eastAsia="fr-CH"/>
              </w:rPr>
            </w:pPr>
            <w:r w:rsidRPr="00391F6A">
              <w:rPr>
                <w:rFonts w:eastAsia="Times New Roman" w:cs="Times New Roman"/>
                <w:iCs/>
                <w:color w:val="000000"/>
                <w:sz w:val="20"/>
                <w:szCs w:val="20"/>
                <w:lang w:eastAsia="fr-CH"/>
              </w:rPr>
              <w:t xml:space="preserve">Risk of duplicates during </w:t>
            </w:r>
            <w:r w:rsidRPr="00391F6A">
              <w:rPr>
                <w:rFonts w:eastAsia="Times New Roman" w:cs="Times New Roman"/>
                <w:iCs/>
                <w:color w:val="000000"/>
                <w:sz w:val="20"/>
                <w:szCs w:val="20"/>
                <w:lang w:val="en-US" w:eastAsia="fr-CH"/>
              </w:rPr>
              <w:t xml:space="preserve">individual follow-up of patients as they are transferred from one component of the program to another. With patients being referred from the community to OTP sites to In-patient facilities and then back to the OTP, or transferred to another OTP nearer to their home as OTP sites are </w:t>
            </w:r>
            <w:r w:rsidRPr="00391F6A">
              <w:rPr>
                <w:rFonts w:eastAsia="Times New Roman" w:cs="Times New Roman"/>
                <w:iCs/>
                <w:color w:val="000000"/>
                <w:sz w:val="20"/>
                <w:szCs w:val="20"/>
                <w:lang w:eastAsia="fr-CH"/>
              </w:rPr>
              <w:t>opened and closed.</w:t>
            </w:r>
          </w:p>
          <w:p w:rsidR="00BD5B4E" w:rsidRPr="00391F6A" w:rsidRDefault="00BD5B4E" w:rsidP="000E4322">
            <w:pPr>
              <w:spacing w:after="120"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For record to be a reliable data source, staff must fill the record out consistently and accurately. Ideally, the recording form will specify the standards, will facilitate accurate charting, and will stimulate appropriate actions.</w:t>
            </w:r>
          </w:p>
        </w:tc>
      </w:tr>
      <w:tr w:rsidR="00BD5B4E" w:rsidRPr="00391F6A" w:rsidTr="000E432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BD5B4E" w:rsidRPr="00391F6A" w:rsidRDefault="00BD5B4E" w:rsidP="000E4322">
            <w:pPr>
              <w:spacing w:after="120" w:line="240" w:lineRule="auto"/>
              <w:rPr>
                <w:rFonts w:eastAsia="Times New Roman" w:cs="Times New Roman"/>
                <w:sz w:val="20"/>
                <w:szCs w:val="20"/>
                <w:lang w:eastAsia="fr-CH"/>
              </w:rPr>
            </w:pPr>
            <w:r w:rsidRPr="00391F6A">
              <w:rPr>
                <w:rFonts w:eastAsia="Times New Roman" w:cs="Times New Roman"/>
                <w:bCs/>
                <w:color w:val="000000"/>
                <w:sz w:val="20"/>
                <w:szCs w:val="20"/>
                <w:lang w:eastAsia="fr-CH"/>
              </w:rPr>
              <w:t>Analysis &amp; Interpretation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D5B4E" w:rsidRPr="00391F6A" w:rsidRDefault="00BD5B4E" w:rsidP="000E4322">
            <w:pPr>
              <w:spacing w:after="120" w:line="240" w:lineRule="auto"/>
              <w:jc w:val="both"/>
              <w:rPr>
                <w:rFonts w:eastAsia="Times New Roman" w:cs="Times New Roman"/>
                <w:sz w:val="20"/>
                <w:szCs w:val="20"/>
                <w:lang w:eastAsia="fr-CH"/>
              </w:rPr>
            </w:pPr>
            <w:r w:rsidRPr="00391F6A">
              <w:rPr>
                <w:rFonts w:eastAsia="Times New Roman" w:cs="Times New Roman"/>
                <w:sz w:val="20"/>
                <w:szCs w:val="20"/>
                <w:lang w:eastAsia="fr-CH"/>
              </w:rPr>
              <w:t>Indicators should be calculated and reported for infants less than 6 months (in-patients) and children from 6 to 59 months. To aid the analysis and interpretation of this indicator, it is necessary to consolidate all the OTP and IPF reports together for a single catchment area to get precise data on the total numbers of children treated for SAM and for the death, defaulting and cure rates. On the other hand, it is important to have the reports from each OTP and IPF separately. This is necessary to both arrange re-stocking of consumable supplies (RUTF, antibiotics, etc.) and also to identify the geographical areas where the major case load arises, how ill the children are in those areas (death rate, transfer-out rate) and the functioning of the individual OTP and cure rates.</w:t>
            </w:r>
          </w:p>
        </w:tc>
      </w:tr>
      <w:tr w:rsidR="00BD5B4E" w:rsidRPr="00391F6A" w:rsidTr="000E4322">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BD5B4E" w:rsidRPr="00391F6A" w:rsidRDefault="00BD5B4E" w:rsidP="000E4322">
            <w:pPr>
              <w:spacing w:after="120" w:line="240" w:lineRule="auto"/>
              <w:rPr>
                <w:rFonts w:eastAsia="Times New Roman" w:cs="Times New Roman"/>
                <w:sz w:val="20"/>
                <w:szCs w:val="20"/>
                <w:lang w:eastAsia="fr-CH"/>
              </w:rPr>
            </w:pPr>
            <w:r w:rsidRPr="00391F6A">
              <w:rPr>
                <w:rFonts w:eastAsia="Times New Roman" w:cs="Times New Roman"/>
                <w:bCs/>
                <w:color w:val="000000"/>
                <w:sz w:val="20"/>
                <w:szCs w:val="20"/>
                <w:lang w:eastAsia="fr-CH"/>
              </w:rPr>
              <w:t>Resources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D5B4E" w:rsidRPr="00391F6A" w:rsidRDefault="00BD5B4E" w:rsidP="000E4322">
            <w:pPr>
              <w:spacing w:after="120"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Under the technical assistance of HQ, Tdh M&amp;E and operational teams in each delegation should work closely with health authorities to collect and interpret the data. Funding needed: routine monitoring, delegation M&amp;E staff and HQ technical support.</w:t>
            </w:r>
          </w:p>
        </w:tc>
      </w:tr>
      <w:tr w:rsidR="00BD5B4E" w:rsidRPr="00391F6A" w:rsidTr="000E4322">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BD5B4E" w:rsidRPr="00391F6A" w:rsidRDefault="00BD5B4E" w:rsidP="000E4322">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Other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D5B4E" w:rsidRPr="00391F6A" w:rsidRDefault="00BD5B4E" w:rsidP="000E4322">
            <w:pPr>
              <w:spacing w:after="120" w:line="0" w:lineRule="atLeast"/>
              <w:jc w:val="both"/>
              <w:rPr>
                <w:rFonts w:eastAsia="Times New Roman" w:cs="Times New Roman"/>
                <w:sz w:val="20"/>
                <w:szCs w:val="20"/>
                <w:lang w:eastAsia="fr-CH"/>
              </w:rPr>
            </w:pPr>
            <w:r w:rsidRPr="00391F6A">
              <w:rPr>
                <w:rFonts w:eastAsia="Times New Roman" w:cs="Times New Roman"/>
                <w:iCs/>
                <w:color w:val="000000"/>
                <w:sz w:val="20"/>
                <w:szCs w:val="20"/>
                <w:lang w:eastAsia="fr-CH"/>
              </w:rPr>
              <w:t>Any other  question / comments</w:t>
            </w:r>
          </w:p>
        </w:tc>
      </w:tr>
    </w:tbl>
    <w:p w:rsidR="00BD5B4E" w:rsidRPr="00391F6A" w:rsidRDefault="00BD5B4E" w:rsidP="00BD5B4E">
      <w:pPr>
        <w:spacing w:line="240" w:lineRule="auto"/>
        <w:rPr>
          <w:rFonts w:eastAsia="Times New Roman" w:cs="Times New Roman"/>
          <w:bCs/>
          <w:color w:val="000000"/>
          <w:sz w:val="20"/>
          <w:szCs w:val="20"/>
          <w:lang w:eastAsia="fr-CH"/>
        </w:rPr>
      </w:pPr>
    </w:p>
    <w:p w:rsidR="00B219FB" w:rsidRDefault="00B219FB" w:rsidP="00BD5B4E">
      <w:pPr>
        <w:spacing w:line="240" w:lineRule="auto"/>
      </w:pPr>
    </w:p>
    <w:sectPr w:rsidR="00B21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9209A"/>
    <w:multiLevelType w:val="multilevel"/>
    <w:tmpl w:val="E08C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6D"/>
    <w:rsid w:val="00407E96"/>
    <w:rsid w:val="004C4C8F"/>
    <w:rsid w:val="005517D2"/>
    <w:rsid w:val="008E3654"/>
    <w:rsid w:val="00AA596D"/>
    <w:rsid w:val="00B219FB"/>
    <w:rsid w:val="00BB5449"/>
    <w:rsid w:val="00BD5B4E"/>
    <w:rsid w:val="00F422D6"/>
    <w:rsid w:val="00F44F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6D"/>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59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96D"/>
    <w:rPr>
      <w:rFonts w:ascii="Tahoma" w:hAnsi="Tahoma" w:cs="Tahoma"/>
      <w:sz w:val="16"/>
      <w:szCs w:val="16"/>
      <w:lang w:val="en-GB"/>
    </w:rPr>
  </w:style>
  <w:style w:type="character" w:styleId="Marquedecommentaire">
    <w:name w:val="annotation reference"/>
    <w:basedOn w:val="Policepardfaut"/>
    <w:uiPriority w:val="99"/>
    <w:semiHidden/>
    <w:unhideWhenUsed/>
    <w:rsid w:val="00F44F02"/>
    <w:rPr>
      <w:sz w:val="16"/>
      <w:szCs w:val="16"/>
    </w:rPr>
  </w:style>
  <w:style w:type="paragraph" w:styleId="Commentaire">
    <w:name w:val="annotation text"/>
    <w:basedOn w:val="Normal"/>
    <w:link w:val="CommentaireCar"/>
    <w:uiPriority w:val="99"/>
    <w:semiHidden/>
    <w:unhideWhenUsed/>
    <w:rsid w:val="00F44F02"/>
    <w:pPr>
      <w:spacing w:line="240" w:lineRule="auto"/>
    </w:pPr>
    <w:rPr>
      <w:sz w:val="20"/>
      <w:szCs w:val="20"/>
    </w:rPr>
  </w:style>
  <w:style w:type="character" w:customStyle="1" w:styleId="CommentaireCar">
    <w:name w:val="Commentaire Car"/>
    <w:basedOn w:val="Policepardfaut"/>
    <w:link w:val="Commentaire"/>
    <w:uiPriority w:val="99"/>
    <w:semiHidden/>
    <w:rsid w:val="00F44F02"/>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6D"/>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59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96D"/>
    <w:rPr>
      <w:rFonts w:ascii="Tahoma" w:hAnsi="Tahoma" w:cs="Tahoma"/>
      <w:sz w:val="16"/>
      <w:szCs w:val="16"/>
      <w:lang w:val="en-GB"/>
    </w:rPr>
  </w:style>
  <w:style w:type="character" w:styleId="Marquedecommentaire">
    <w:name w:val="annotation reference"/>
    <w:basedOn w:val="Policepardfaut"/>
    <w:uiPriority w:val="99"/>
    <w:semiHidden/>
    <w:unhideWhenUsed/>
    <w:rsid w:val="00F44F02"/>
    <w:rPr>
      <w:sz w:val="16"/>
      <w:szCs w:val="16"/>
    </w:rPr>
  </w:style>
  <w:style w:type="paragraph" w:styleId="Commentaire">
    <w:name w:val="annotation text"/>
    <w:basedOn w:val="Normal"/>
    <w:link w:val="CommentaireCar"/>
    <w:uiPriority w:val="99"/>
    <w:semiHidden/>
    <w:unhideWhenUsed/>
    <w:rsid w:val="00F44F02"/>
    <w:pPr>
      <w:spacing w:line="240" w:lineRule="auto"/>
    </w:pPr>
    <w:rPr>
      <w:sz w:val="20"/>
      <w:szCs w:val="20"/>
    </w:rPr>
  </w:style>
  <w:style w:type="character" w:customStyle="1" w:styleId="CommentaireCar">
    <w:name w:val="Commentaire Car"/>
    <w:basedOn w:val="Policepardfaut"/>
    <w:link w:val="Commentaire"/>
    <w:uiPriority w:val="99"/>
    <w:semiHidden/>
    <w:rsid w:val="00F44F02"/>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3729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TDH</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Diallo</dc:creator>
  <cp:lastModifiedBy>Ibrahima Diallo</cp:lastModifiedBy>
  <cp:revision>6</cp:revision>
  <dcterms:created xsi:type="dcterms:W3CDTF">2017-04-28T14:13:00Z</dcterms:created>
  <dcterms:modified xsi:type="dcterms:W3CDTF">2017-10-25T11:50:00Z</dcterms:modified>
</cp:coreProperties>
</file>