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2D" w:rsidRDefault="004D2618">
      <w:pPr>
        <w:jc w:val="center"/>
        <w:rPr>
          <w:rFonts w:ascii="Calibri" w:eastAsia="Calibri" w:hAnsi="Calibri" w:cs="Times New Roman"/>
          <w:b/>
          <w:color w:val="17365D" w:themeColor="text2" w:themeShade="BF"/>
          <w:sz w:val="24"/>
        </w:rPr>
      </w:pPr>
      <w:r>
        <w:rPr>
          <w:rFonts w:ascii="Calibri" w:eastAsia="Calibri" w:hAnsi="Calibri" w:cs="Times New Roman"/>
          <w:b/>
          <w:color w:val="17365D" w:themeColor="text2" w:themeShade="BF"/>
          <w:sz w:val="24"/>
        </w:rPr>
        <w:t xml:space="preserve">Programme de contribution Tdh 2017-2020/Plan stratégique 2016-2020 </w:t>
      </w:r>
    </w:p>
    <w:p w:rsidR="0074642D" w:rsidRDefault="004D2618">
      <w:pPr>
        <w:jc w:val="center"/>
        <w:rPr>
          <w:rFonts w:ascii="Calibri" w:eastAsia="Calibri" w:hAnsi="Calibri" w:cs="Times New Roman"/>
          <w:b/>
          <w:color w:val="17365D" w:themeColor="text2" w:themeShade="BF"/>
          <w:sz w:val="24"/>
        </w:rPr>
      </w:pPr>
      <w:r>
        <w:rPr>
          <w:rFonts w:ascii="Calibri" w:eastAsia="Calibri" w:hAnsi="Calibri" w:cs="Times New Roman"/>
          <w:b/>
          <w:color w:val="17365D" w:themeColor="text2" w:themeShade="BF"/>
          <w:sz w:val="24"/>
        </w:rPr>
        <w:t xml:space="preserve">Indicateurs </w:t>
      </w:r>
      <w:r w:rsidR="00A25D09">
        <w:rPr>
          <w:rFonts w:ascii="Calibri" w:eastAsia="Calibri" w:hAnsi="Calibri" w:cs="Times New Roman"/>
          <w:b/>
          <w:color w:val="17365D" w:themeColor="text2" w:themeShade="BF"/>
          <w:sz w:val="24"/>
        </w:rPr>
        <w:t>programmatiques</w:t>
      </w:r>
    </w:p>
    <w:p w:rsidR="0074642D" w:rsidRDefault="004D2618">
      <w:pPr>
        <w:rPr>
          <w:b/>
        </w:rPr>
      </w:pPr>
      <w:r>
        <w:rPr>
          <w:b/>
        </w:rPr>
        <w:t xml:space="preserve">[Programme] : </w:t>
      </w:r>
      <w:r w:rsidR="007C0507">
        <w:t>Lutte</w:t>
      </w:r>
      <w:r>
        <w:t xml:space="preserve"> contre l</w:t>
      </w:r>
      <w:r w:rsidR="00652B0E">
        <w:t>’exploitation des enfants par le travail</w:t>
      </w:r>
    </w:p>
    <w:p w:rsidR="0074642D" w:rsidRDefault="004D2618">
      <w:pPr>
        <w:jc w:val="both"/>
        <w:rPr>
          <w:b/>
        </w:rPr>
      </w:pPr>
      <w:r>
        <w:rPr>
          <w:b/>
        </w:rPr>
        <w:t>[Résultat]</w:t>
      </w:r>
      <w:r w:rsidR="00A25D09">
        <w:rPr>
          <w:b/>
        </w:rPr>
        <w:t xml:space="preserve"> </w:t>
      </w:r>
      <w:r w:rsidR="00652B0E">
        <w:rPr>
          <w:b/>
        </w:rPr>
        <w:t xml:space="preserve">R </w:t>
      </w:r>
      <w:r>
        <w:rPr>
          <w:b/>
        </w:rPr>
        <w:t>1.</w:t>
      </w:r>
      <w:r w:rsidR="00A25D09">
        <w:rPr>
          <w:b/>
        </w:rPr>
        <w:t xml:space="preserve"> </w:t>
      </w:r>
      <w:r w:rsidR="00652B0E" w:rsidRPr="00F46131">
        <w:t>Dans au moins six Etats fragiles, les risques d’exploitation des enfants par le travail sont réduits grâce au renforcement de systèmes locaux de protection sociale et de l’enfance, de mécanismes institutionnels et communautaires, de suivi et de protection des enfants travailleurs ainsi que par des programmes d’éducation et d’accès à l’emploi visant les enfants et les jeunes les plus vulnérables.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6877"/>
      </w:tblGrid>
      <w:tr w:rsidR="0074642D">
        <w:tc>
          <w:tcPr>
            <w:tcW w:w="2303" w:type="dxa"/>
            <w:shd w:val="clear" w:color="auto" w:fill="DBE5F1" w:themeFill="accent1" w:themeFillTint="33"/>
          </w:tcPr>
          <w:p w:rsidR="0074642D" w:rsidRDefault="004D2618">
            <w:pPr>
              <w:tabs>
                <w:tab w:val="left" w:pos="3960"/>
              </w:tabs>
              <w:spacing w:line="240" w:lineRule="auto"/>
              <w:rPr>
                <w:rFonts w:ascii="Calibri" w:eastAsia="Calibri" w:hAnsi="Calibri" w:cs="Calibri"/>
                <w:b/>
              </w:rPr>
            </w:pPr>
            <w:r>
              <w:rPr>
                <w:rFonts w:ascii="Calibri" w:eastAsia="Calibri" w:hAnsi="Calibri" w:cs="Calibri"/>
                <w:b/>
              </w:rPr>
              <w:t>Indicateur (Titre)</w:t>
            </w:r>
          </w:p>
        </w:tc>
        <w:tc>
          <w:tcPr>
            <w:tcW w:w="6877" w:type="dxa"/>
            <w:shd w:val="clear" w:color="auto" w:fill="FFFFFF" w:themeFill="background1"/>
          </w:tcPr>
          <w:p w:rsidR="0074642D" w:rsidRDefault="004D2618">
            <w:pPr>
              <w:spacing w:line="240" w:lineRule="auto"/>
              <w:rPr>
                <w:rFonts w:eastAsia="Calibri" w:cs="Times New Roman"/>
                <w:b/>
                <w:sz w:val="20"/>
              </w:rPr>
            </w:pPr>
            <w:r>
              <w:rPr>
                <w:rFonts w:eastAsia="Calibri" w:cs="Times New Roman"/>
                <w:b/>
                <w:sz w:val="20"/>
              </w:rPr>
              <w:t xml:space="preserve">1.2 Services de protection du travail </w:t>
            </w:r>
          </w:p>
          <w:p w:rsidR="0074642D" w:rsidRDefault="004D2618">
            <w:pPr>
              <w:spacing w:line="240" w:lineRule="auto"/>
              <w:rPr>
                <w:rFonts w:cs="Calibri-Italic"/>
                <w:iCs/>
                <w:sz w:val="20"/>
              </w:rPr>
            </w:pPr>
            <w:r>
              <w:rPr>
                <w:rFonts w:eastAsiaTheme="minorEastAsia"/>
                <w:sz w:val="20"/>
              </w:rPr>
              <w:t xml:space="preserve">Nombre d’enfants et de </w:t>
            </w:r>
            <w:r w:rsidR="00571A12">
              <w:rPr>
                <w:rFonts w:eastAsiaTheme="minorEastAsia"/>
                <w:sz w:val="20"/>
              </w:rPr>
              <w:t>jeunes identifiés comme victime</w:t>
            </w:r>
            <w:r>
              <w:rPr>
                <w:rFonts w:eastAsiaTheme="minorEastAsia"/>
                <w:sz w:val="20"/>
              </w:rPr>
              <w:t xml:space="preserve"> d</w:t>
            </w:r>
            <w:r w:rsidR="00A25D09">
              <w:rPr>
                <w:rFonts w:eastAsiaTheme="minorEastAsia"/>
                <w:sz w:val="20"/>
              </w:rPr>
              <w:t>’</w:t>
            </w:r>
            <w:r>
              <w:rPr>
                <w:rFonts w:eastAsiaTheme="minorEastAsia"/>
                <w:sz w:val="20"/>
              </w:rPr>
              <w:t>exploitation par le travail pour lesquels la situation [au travail] est améliorée</w:t>
            </w:r>
            <w:r w:rsidR="00A25D09">
              <w:rPr>
                <w:rFonts w:eastAsiaTheme="minorEastAsia"/>
                <w:sz w:val="20"/>
              </w:rPr>
              <w:t xml:space="preserve"> </w:t>
            </w:r>
            <w:r>
              <w:rPr>
                <w:rFonts w:eastAsiaTheme="minorEastAsia"/>
                <w:sz w:val="20"/>
              </w:rPr>
              <w:t>ou qui ont été retirés de</w:t>
            </w:r>
            <w:r w:rsidR="00A25D09">
              <w:rPr>
                <w:rFonts w:eastAsiaTheme="minorEastAsia"/>
                <w:sz w:val="20"/>
              </w:rPr>
              <w:t>s</w:t>
            </w:r>
            <w:r>
              <w:rPr>
                <w:rFonts w:eastAsiaTheme="minorEastAsia"/>
                <w:sz w:val="20"/>
              </w:rPr>
              <w:t xml:space="preserve"> pires formes de travail </w:t>
            </w:r>
            <w:r w:rsidR="00A25D09">
              <w:rPr>
                <w:rFonts w:eastAsiaTheme="minorEastAsia"/>
                <w:sz w:val="20"/>
              </w:rPr>
              <w:t xml:space="preserve">à la fin du projet [ou cycle de service], </w:t>
            </w:r>
            <w:r>
              <w:rPr>
                <w:rFonts w:eastAsiaTheme="minorEastAsia"/>
                <w:sz w:val="20"/>
              </w:rPr>
              <w:t>en accédant à des services et mécanismes sociaux et de protection fournis par Tdh.</w:t>
            </w:r>
          </w:p>
          <w:p w:rsidR="0074642D" w:rsidRDefault="004D2618">
            <w:pPr>
              <w:spacing w:line="240" w:lineRule="auto"/>
              <w:rPr>
                <w:rFonts w:cs="Calibri-Italic"/>
                <w:iCs/>
                <w:sz w:val="20"/>
              </w:rPr>
            </w:pPr>
            <w:r>
              <w:rPr>
                <w:rFonts w:eastAsiaTheme="minorEastAsia"/>
                <w:sz w:val="20"/>
              </w:rPr>
              <w:t>(Objectif du programme pour 2017-2020 : 15.000) </w:t>
            </w:r>
          </w:p>
        </w:tc>
      </w:tr>
      <w:tr w:rsidR="0074642D">
        <w:tc>
          <w:tcPr>
            <w:tcW w:w="2303" w:type="dxa"/>
            <w:shd w:val="clear" w:color="auto" w:fill="DBE5F1" w:themeFill="accent1" w:themeFillTint="33"/>
          </w:tcPr>
          <w:p w:rsidR="0074642D" w:rsidRDefault="004D2618">
            <w:pPr>
              <w:tabs>
                <w:tab w:val="left" w:pos="3960"/>
              </w:tabs>
              <w:spacing w:line="240" w:lineRule="auto"/>
              <w:rPr>
                <w:rFonts w:ascii="Calibri" w:eastAsia="Calibri" w:hAnsi="Calibri" w:cs="Calibri"/>
                <w:b/>
              </w:rPr>
            </w:pPr>
            <w:r>
              <w:rPr>
                <w:rFonts w:ascii="Calibri" w:eastAsia="Calibri" w:hAnsi="Calibri" w:cs="Calibri"/>
                <w:b/>
              </w:rPr>
              <w:t>Définition</w:t>
            </w:r>
          </w:p>
        </w:tc>
        <w:tc>
          <w:tcPr>
            <w:tcW w:w="6877" w:type="dxa"/>
            <w:shd w:val="clear" w:color="auto" w:fill="FFFFFF" w:themeFill="background1"/>
          </w:tcPr>
          <w:p w:rsidR="0074642D" w:rsidRDefault="004D2618">
            <w:pPr>
              <w:pStyle w:val="Paragraphedeliste"/>
              <w:numPr>
                <w:ilvl w:val="0"/>
                <w:numId w:val="1"/>
              </w:numPr>
              <w:spacing w:line="240" w:lineRule="auto"/>
              <w:rPr>
                <w:rFonts w:eastAsia="Calibri" w:cs="Times New Roman"/>
                <w:sz w:val="20"/>
              </w:rPr>
            </w:pPr>
            <w:r>
              <w:rPr>
                <w:rFonts w:eastAsia="Calibri" w:cs="Times New Roman"/>
                <w:b/>
                <w:sz w:val="20"/>
              </w:rPr>
              <w:t>Enfants</w:t>
            </w:r>
            <w:r>
              <w:rPr>
                <w:rFonts w:eastAsia="Calibri" w:cs="Times New Roman"/>
                <w:sz w:val="20"/>
              </w:rPr>
              <w:t xml:space="preserve"> : toute personne âgée de moins de 18 ans. Dans ce programme, nous nous référons aux enfants impliqués dans</w:t>
            </w:r>
            <w:r w:rsidR="00A31AA1">
              <w:rPr>
                <w:rFonts w:eastAsia="Calibri" w:cs="Times New Roman"/>
                <w:sz w:val="20"/>
              </w:rPr>
              <w:t xml:space="preserve"> des travaux dangereux ou</w:t>
            </w:r>
            <w:r>
              <w:rPr>
                <w:rFonts w:eastAsia="Calibri" w:cs="Times New Roman"/>
                <w:sz w:val="20"/>
              </w:rPr>
              <w:t xml:space="preserve"> les pires formes de travail, ainsi que les plus dangereuses, tels que définis par la Convention </w:t>
            </w:r>
            <w:r w:rsidR="00A31AA1">
              <w:rPr>
                <w:rFonts w:eastAsia="Calibri" w:cs="Times New Roman"/>
                <w:sz w:val="20"/>
              </w:rPr>
              <w:t>182</w:t>
            </w:r>
            <w:r>
              <w:rPr>
                <w:rFonts w:eastAsia="Calibri" w:cs="Times New Roman"/>
                <w:sz w:val="20"/>
              </w:rPr>
              <w:t>de l'OIT</w:t>
            </w:r>
          </w:p>
          <w:p w:rsidR="0074642D" w:rsidRDefault="004D2618">
            <w:pPr>
              <w:pStyle w:val="Paragraphedeliste"/>
              <w:numPr>
                <w:ilvl w:val="0"/>
                <w:numId w:val="1"/>
              </w:numPr>
              <w:spacing w:line="240" w:lineRule="auto"/>
              <w:rPr>
                <w:rFonts w:eastAsia="Calibri" w:cs="Times New Roman"/>
                <w:sz w:val="20"/>
              </w:rPr>
            </w:pPr>
            <w:r>
              <w:rPr>
                <w:rFonts w:eastAsia="Calibri" w:cs="Times New Roman"/>
                <w:b/>
                <w:sz w:val="20"/>
              </w:rPr>
              <w:t>Jeune</w:t>
            </w:r>
            <w:r>
              <w:rPr>
                <w:rFonts w:eastAsia="Calibri" w:cs="Times New Roman"/>
                <w:sz w:val="20"/>
              </w:rPr>
              <w:t>: Toute personne de 18 à 24 ans.</w:t>
            </w:r>
          </w:p>
          <w:p w:rsidR="0074642D" w:rsidRDefault="004D2618">
            <w:pPr>
              <w:pStyle w:val="Paragraphedeliste"/>
              <w:numPr>
                <w:ilvl w:val="0"/>
                <w:numId w:val="1"/>
              </w:numPr>
              <w:spacing w:line="240" w:lineRule="auto"/>
              <w:rPr>
                <w:rFonts w:eastAsia="Calibri" w:cs="Times New Roman"/>
                <w:sz w:val="20"/>
              </w:rPr>
            </w:pPr>
            <w:r>
              <w:rPr>
                <w:rFonts w:eastAsia="Calibri" w:cs="Times New Roman"/>
                <w:b/>
                <w:sz w:val="20"/>
              </w:rPr>
              <w:t>Enfants à risque</w:t>
            </w:r>
            <w:r>
              <w:rPr>
                <w:rFonts w:eastAsia="Calibri" w:cs="Times New Roman"/>
                <w:sz w:val="20"/>
              </w:rPr>
              <w:t xml:space="preserve"> : </w:t>
            </w:r>
            <w:r w:rsidR="00A31AA1">
              <w:rPr>
                <w:rFonts w:eastAsia="Calibri" w:cs="Times New Roman"/>
                <w:sz w:val="20"/>
              </w:rPr>
              <w:t>Après évaluation de la situation de l’enfant, probabilité que l’enfant puisse être exploité.</w:t>
            </w:r>
            <w:r w:rsidR="00A31AA1">
              <w:rPr>
                <w:rStyle w:val="Appelnotedebasdep"/>
                <w:rFonts w:eastAsia="Calibri" w:cs="Times New Roman"/>
                <w:sz w:val="20"/>
              </w:rPr>
              <w:footnoteReference w:id="1"/>
            </w:r>
          </w:p>
          <w:p w:rsidR="0074642D" w:rsidRDefault="004D2618">
            <w:pPr>
              <w:pStyle w:val="Paragraphedeliste"/>
              <w:numPr>
                <w:ilvl w:val="0"/>
                <w:numId w:val="1"/>
              </w:numPr>
              <w:spacing w:line="240" w:lineRule="auto"/>
              <w:rPr>
                <w:rFonts w:eastAsia="Calibri" w:cs="Times New Roman"/>
                <w:sz w:val="20"/>
              </w:rPr>
            </w:pPr>
            <w:r>
              <w:rPr>
                <w:rFonts w:eastAsia="Calibri" w:cs="Times New Roman"/>
                <w:b/>
                <w:sz w:val="20"/>
              </w:rPr>
              <w:t xml:space="preserve">Victimes : </w:t>
            </w:r>
            <w:r>
              <w:rPr>
                <w:rFonts w:eastAsia="Calibri" w:cs="Times New Roman"/>
                <w:sz w:val="20"/>
              </w:rPr>
              <w:t>Une personne lésée ou blessée suite à un crime, accident, ou autre événement ou action.</w:t>
            </w:r>
          </w:p>
          <w:p w:rsidR="0074642D" w:rsidRDefault="004D2618">
            <w:pPr>
              <w:pStyle w:val="Paragraphedeliste"/>
              <w:numPr>
                <w:ilvl w:val="0"/>
                <w:numId w:val="1"/>
              </w:numPr>
              <w:spacing w:line="240" w:lineRule="auto"/>
              <w:rPr>
                <w:rFonts w:eastAsia="Calibri" w:cs="Times New Roman"/>
                <w:sz w:val="20"/>
              </w:rPr>
            </w:pPr>
            <w:r>
              <w:rPr>
                <w:rFonts w:eastAsia="Calibri" w:cs="Times New Roman"/>
                <w:b/>
                <w:sz w:val="20"/>
              </w:rPr>
              <w:t xml:space="preserve">Exploitation </w:t>
            </w:r>
            <w:r w:rsidR="00AE30D8">
              <w:rPr>
                <w:rFonts w:eastAsia="Calibri" w:cs="Times New Roman"/>
                <w:b/>
                <w:sz w:val="20"/>
              </w:rPr>
              <w:t>par le travail</w:t>
            </w:r>
            <w:r w:rsidR="00A25D09">
              <w:t xml:space="preserve"> </w:t>
            </w:r>
            <w:r>
              <w:rPr>
                <w:rFonts w:eastAsia="Calibri" w:cs="Times New Roman"/>
                <w:sz w:val="20"/>
              </w:rPr>
              <w:t>:</w:t>
            </w:r>
            <w:r w:rsidR="000872F4">
              <w:rPr>
                <w:rFonts w:eastAsia="Calibri" w:cs="Times New Roman"/>
                <w:sz w:val="20"/>
              </w:rPr>
              <w:t xml:space="preserve"> </w:t>
            </w:r>
            <w:r>
              <w:rPr>
                <w:rFonts w:eastAsia="Times New Roman" w:cs="Arial"/>
                <w:sz w:val="20"/>
              </w:rPr>
              <w:t>La Convention relative aux droits de l’enfant reconnaît le droit inaliénable de l’enfant à être protégé contre l’exploitation économique et à accomplir tout travail susceptible d’être dangereux, d’interférer avec son éducation ou de nuire à sa santé ou son développement physique, mental, spirituel, moral ou social. Il s’agit, par exemple, d'enfants soumis aux pires formes du travail, victimes d’abus de pouvoir, d'enfants obligés de travailler trop jeune</w:t>
            </w:r>
            <w:r w:rsidR="00AE30D8">
              <w:rPr>
                <w:rFonts w:eastAsia="Times New Roman" w:cs="Arial"/>
                <w:sz w:val="20"/>
              </w:rPr>
              <w:t>s</w:t>
            </w:r>
            <w:r>
              <w:rPr>
                <w:rFonts w:eastAsia="Times New Roman" w:cs="Arial"/>
                <w:sz w:val="20"/>
              </w:rPr>
              <w:t xml:space="preserve"> ou contraints de travailler pendant de très longues journées. Cela concerne également les enfants qui sont payés trop peu pour le travail qu’ils accomplissent, ainsi que les victimes de trafic qui travaillent toujours au profit de l’exploitant.</w:t>
            </w:r>
            <w:r>
              <w:rPr>
                <w:rStyle w:val="Appelnotedebasdep"/>
                <w:rFonts w:eastAsia="Times New Roman" w:cs="Arial"/>
                <w:sz w:val="20"/>
              </w:rPr>
              <w:footnoteReference w:id="2"/>
            </w:r>
          </w:p>
          <w:p w:rsidR="0074642D" w:rsidRDefault="004D2618">
            <w:pPr>
              <w:pStyle w:val="Paragraphedeliste"/>
              <w:numPr>
                <w:ilvl w:val="0"/>
                <w:numId w:val="1"/>
              </w:numPr>
              <w:autoSpaceDE w:val="0"/>
              <w:autoSpaceDN w:val="0"/>
              <w:adjustRightInd w:val="0"/>
              <w:spacing w:line="240" w:lineRule="auto"/>
              <w:rPr>
                <w:rFonts w:cs="Arial"/>
                <w:sz w:val="20"/>
              </w:rPr>
            </w:pPr>
            <w:r>
              <w:rPr>
                <w:rFonts w:eastAsia="Calibri" w:cs="Times New Roman"/>
                <w:b/>
                <w:sz w:val="20"/>
              </w:rPr>
              <w:t>Pire forme du travail des enfants :</w:t>
            </w:r>
            <w:r>
              <w:rPr>
                <w:rFonts w:eastAsia="Times New Roman" w:cs="Arial"/>
                <w:sz w:val="20"/>
              </w:rPr>
              <w:t xml:space="preserve"> L’article 3 de la Convention 182 décrit les pires formes de travail comme :</w:t>
            </w:r>
          </w:p>
          <w:p w:rsidR="0074642D" w:rsidRDefault="004D2618">
            <w:pPr>
              <w:spacing w:line="240" w:lineRule="auto"/>
              <w:ind w:left="360"/>
              <w:rPr>
                <w:rFonts w:eastAsia="Times New Roman" w:cs="Arial"/>
                <w:sz w:val="20"/>
              </w:rPr>
            </w:pPr>
            <w:r>
              <w:rPr>
                <w:rFonts w:eastAsia="Times New Roman" w:cs="Arial"/>
                <w:sz w:val="20"/>
              </w:rPr>
              <w:t xml:space="preserve">a) Toutes les formes d'esclavage ou les pratiques </w:t>
            </w:r>
            <w:r w:rsidR="00C04D97">
              <w:rPr>
                <w:rFonts w:eastAsia="Times New Roman" w:cs="Arial"/>
                <w:sz w:val="20"/>
              </w:rPr>
              <w:t xml:space="preserve">similaires </w:t>
            </w:r>
            <w:r>
              <w:rPr>
                <w:rFonts w:eastAsia="Times New Roman" w:cs="Arial"/>
                <w:sz w:val="20"/>
              </w:rPr>
              <w:t xml:space="preserve">à l'esclavage, telles que </w:t>
            </w:r>
            <w:r w:rsidR="00D835EE">
              <w:rPr>
                <w:rFonts w:eastAsia="Times New Roman" w:cs="Arial"/>
                <w:sz w:val="20"/>
              </w:rPr>
              <w:t>le commerce</w:t>
            </w:r>
            <w:r>
              <w:rPr>
                <w:rFonts w:eastAsia="Times New Roman" w:cs="Arial"/>
                <w:sz w:val="20"/>
              </w:rPr>
              <w:t xml:space="preserve"> et la traite d'enfants, la servitude pour dettes et l'asservissement, le travail forcé</w:t>
            </w:r>
            <w:r w:rsidR="00D835EE">
              <w:rPr>
                <w:rFonts w:eastAsia="Times New Roman" w:cs="Arial"/>
                <w:sz w:val="20"/>
              </w:rPr>
              <w:t xml:space="preserve"> ou</w:t>
            </w:r>
            <w:r>
              <w:rPr>
                <w:rFonts w:eastAsia="Times New Roman" w:cs="Arial"/>
                <w:sz w:val="20"/>
              </w:rPr>
              <w:t xml:space="preserve"> obligatoire, y compris le recrutement forcé ou obligatoire d'enfants dans des conflits armés;</w:t>
            </w:r>
          </w:p>
          <w:p w:rsidR="0074642D" w:rsidRDefault="004D2618">
            <w:pPr>
              <w:spacing w:line="240" w:lineRule="auto"/>
              <w:ind w:left="360"/>
              <w:rPr>
                <w:rFonts w:eastAsia="Times New Roman" w:cs="Arial"/>
                <w:sz w:val="20"/>
              </w:rPr>
            </w:pPr>
            <w:r>
              <w:rPr>
                <w:rFonts w:eastAsia="Times New Roman" w:cs="Arial"/>
                <w:sz w:val="20"/>
              </w:rPr>
              <w:t xml:space="preserve">b) L’utilisation, l’achat ou l’offre d’un enfant </w:t>
            </w:r>
            <w:r w:rsidR="00D835EE">
              <w:rPr>
                <w:rFonts w:eastAsia="Times New Roman" w:cs="Arial"/>
                <w:sz w:val="20"/>
              </w:rPr>
              <w:t>à des fins de</w:t>
            </w:r>
            <w:r>
              <w:rPr>
                <w:rFonts w:eastAsia="Times New Roman" w:cs="Arial"/>
                <w:sz w:val="20"/>
              </w:rPr>
              <w:t xml:space="preserve"> prostitution, production de matériel pornographique ou de spectacles pornographiques;</w:t>
            </w:r>
          </w:p>
          <w:p w:rsidR="0074642D" w:rsidRDefault="004D2618">
            <w:pPr>
              <w:spacing w:line="240" w:lineRule="auto"/>
              <w:ind w:left="360"/>
              <w:rPr>
                <w:rFonts w:eastAsia="Times New Roman" w:cs="Arial"/>
                <w:sz w:val="20"/>
              </w:rPr>
            </w:pPr>
            <w:r>
              <w:rPr>
                <w:rFonts w:eastAsia="Times New Roman" w:cs="Arial"/>
                <w:sz w:val="20"/>
              </w:rPr>
              <w:t xml:space="preserve">c) L'utilisation, l'achat ou l'offre d'enfants à des fins d'activités illicites, en </w:t>
            </w:r>
            <w:r>
              <w:rPr>
                <w:rFonts w:eastAsia="Times New Roman" w:cs="Arial"/>
                <w:sz w:val="20"/>
              </w:rPr>
              <w:lastRenderedPageBreak/>
              <w:t>particulier la production et le trafic de stupéfiants, tels que définis dans les traités internationaux concernés;</w:t>
            </w:r>
          </w:p>
          <w:p w:rsidR="0074642D" w:rsidRDefault="004D2618">
            <w:pPr>
              <w:spacing w:line="240" w:lineRule="auto"/>
              <w:ind w:left="360"/>
              <w:rPr>
                <w:rFonts w:eastAsia="Times New Roman" w:cs="Arial"/>
                <w:sz w:val="20"/>
              </w:rPr>
            </w:pPr>
            <w:r>
              <w:rPr>
                <w:rFonts w:eastAsia="Times New Roman" w:cs="Arial"/>
                <w:sz w:val="20"/>
              </w:rPr>
              <w:t>d) Les travaux qui, par leur nature ou les conditions dans lesquelles ils s’exercent, sont susceptibles de nuire à la santé, à la sécurité ou à la moralité de l’enfant.</w:t>
            </w:r>
            <w:r>
              <w:rPr>
                <w:rStyle w:val="Appelnotedebasdep"/>
                <w:rFonts w:eastAsia="Times New Roman" w:cs="Arial"/>
                <w:sz w:val="20"/>
              </w:rPr>
              <w:footnoteReference w:id="3"/>
            </w:r>
          </w:p>
          <w:p w:rsidR="0074642D" w:rsidRDefault="004D2618">
            <w:pPr>
              <w:pStyle w:val="Paragraphedeliste"/>
              <w:numPr>
                <w:ilvl w:val="0"/>
                <w:numId w:val="1"/>
              </w:numPr>
              <w:spacing w:line="240" w:lineRule="auto"/>
              <w:rPr>
                <w:rFonts w:cs="Arial"/>
                <w:sz w:val="20"/>
              </w:rPr>
            </w:pPr>
            <w:r>
              <w:rPr>
                <w:rFonts w:cs="Arial"/>
                <w:b/>
                <w:sz w:val="20"/>
              </w:rPr>
              <w:t>Améliorer les conditions de travail</w:t>
            </w:r>
            <w:r>
              <w:rPr>
                <w:rFonts w:cs="Arial"/>
                <w:sz w:val="20"/>
              </w:rPr>
              <w:t xml:space="preserve">: certains travaux </w:t>
            </w:r>
            <w:r w:rsidR="00D835EE">
              <w:rPr>
                <w:rFonts w:cs="Arial"/>
                <w:sz w:val="20"/>
              </w:rPr>
              <w:t xml:space="preserve">ne sont pas </w:t>
            </w:r>
            <w:r w:rsidR="00243B50">
              <w:rPr>
                <w:rFonts w:cs="Arial"/>
                <w:sz w:val="20"/>
              </w:rPr>
              <w:t>néfastes au</w:t>
            </w:r>
            <w:r>
              <w:rPr>
                <w:rFonts w:cs="Arial"/>
                <w:sz w:val="20"/>
              </w:rPr>
              <w:t xml:space="preserve"> développement de l’enfant – </w:t>
            </w:r>
            <w:r w:rsidR="00243B50">
              <w:rPr>
                <w:rFonts w:cs="Arial"/>
                <w:sz w:val="20"/>
              </w:rPr>
              <w:t xml:space="preserve">les </w:t>
            </w:r>
            <w:r>
              <w:rPr>
                <w:rFonts w:cs="Arial"/>
                <w:sz w:val="20"/>
              </w:rPr>
              <w:t xml:space="preserve">travaux légers pour un nombre d’heures limité, </w:t>
            </w:r>
            <w:r w:rsidR="00243B50">
              <w:rPr>
                <w:rFonts w:cs="Arial"/>
                <w:sz w:val="20"/>
              </w:rPr>
              <w:t>adaptés à</w:t>
            </w:r>
            <w:r>
              <w:rPr>
                <w:rFonts w:cs="Arial"/>
                <w:sz w:val="20"/>
              </w:rPr>
              <w:t xml:space="preserve"> leur âge et </w:t>
            </w:r>
            <w:r w:rsidR="00243B50">
              <w:rPr>
                <w:rFonts w:cs="Arial"/>
                <w:sz w:val="20"/>
              </w:rPr>
              <w:t xml:space="preserve">leurs </w:t>
            </w:r>
            <w:r>
              <w:rPr>
                <w:rFonts w:cs="Arial"/>
                <w:sz w:val="20"/>
              </w:rPr>
              <w:t xml:space="preserve">capacités, et qui n’interfèrent pas avec l'éducation et/ou les loisirs de l’enfant. Dans ce cas, améliorer les conditions de travail </w:t>
            </w:r>
            <w:r w:rsidR="00243B50">
              <w:rPr>
                <w:rFonts w:cs="Arial"/>
                <w:sz w:val="20"/>
              </w:rPr>
              <w:t>signifie aller dans le sens de</w:t>
            </w:r>
            <w:r>
              <w:rPr>
                <w:rFonts w:cs="Arial"/>
                <w:sz w:val="20"/>
              </w:rPr>
              <w:t xml:space="preserve"> </w:t>
            </w:r>
            <w:r w:rsidR="00243B50">
              <w:rPr>
                <w:rFonts w:cs="Arial"/>
                <w:sz w:val="20"/>
              </w:rPr>
              <w:t>l’</w:t>
            </w:r>
            <w:r>
              <w:rPr>
                <w:rFonts w:cs="Arial"/>
                <w:sz w:val="20"/>
              </w:rPr>
              <w:t xml:space="preserve">intérêt </w:t>
            </w:r>
            <w:r w:rsidR="00243B50">
              <w:rPr>
                <w:rFonts w:cs="Arial"/>
                <w:sz w:val="20"/>
              </w:rPr>
              <w:t xml:space="preserve">supérieur </w:t>
            </w:r>
            <w:r>
              <w:rPr>
                <w:rFonts w:cs="Arial"/>
                <w:sz w:val="20"/>
              </w:rPr>
              <w:t xml:space="preserve">de l’enfant, afin </w:t>
            </w:r>
            <w:r w:rsidR="00243B50">
              <w:rPr>
                <w:rFonts w:cs="Arial"/>
                <w:sz w:val="20"/>
              </w:rPr>
              <w:t>que ses droits ne soient plus compromis</w:t>
            </w:r>
            <w:r>
              <w:rPr>
                <w:rFonts w:cs="Arial"/>
                <w:sz w:val="20"/>
              </w:rPr>
              <w:t xml:space="preserve">, mais plutôt </w:t>
            </w:r>
            <w:r w:rsidR="00243B50">
              <w:rPr>
                <w:rFonts w:cs="Arial"/>
                <w:sz w:val="20"/>
              </w:rPr>
              <w:t>que l’on contribue</w:t>
            </w:r>
            <w:r>
              <w:rPr>
                <w:rFonts w:cs="Arial"/>
                <w:sz w:val="20"/>
              </w:rPr>
              <w:t xml:space="preserve"> à leur réalisation.</w:t>
            </w:r>
          </w:p>
          <w:p w:rsidR="0074642D" w:rsidRDefault="004D2618">
            <w:pPr>
              <w:pStyle w:val="Paragraphedeliste"/>
              <w:numPr>
                <w:ilvl w:val="0"/>
                <w:numId w:val="1"/>
              </w:numPr>
              <w:spacing w:line="240" w:lineRule="auto"/>
              <w:rPr>
                <w:rFonts w:cs="Arial"/>
                <w:sz w:val="20"/>
              </w:rPr>
            </w:pPr>
            <w:r>
              <w:rPr>
                <w:rFonts w:cs="Arial"/>
                <w:b/>
                <w:sz w:val="20"/>
              </w:rPr>
              <w:t>Services sociaux et de protection</w:t>
            </w:r>
            <w:r>
              <w:rPr>
                <w:rFonts w:cs="Arial"/>
                <w:sz w:val="20"/>
              </w:rPr>
              <w:t>: services sociaux, services de santé, activités récréatives, assainissement, soutien psychosocial, accès à l’éducation, information juridique. Accès au niveau de la communauté, du foyer ou au niveau individuel. Soutien social et services sociaux pour les familles vulnérables.</w:t>
            </w:r>
          </w:p>
          <w:p w:rsidR="0074642D" w:rsidRDefault="004D2618">
            <w:pPr>
              <w:pStyle w:val="Paragraphedeliste"/>
              <w:numPr>
                <w:ilvl w:val="0"/>
                <w:numId w:val="1"/>
              </w:numPr>
              <w:spacing w:line="240" w:lineRule="auto"/>
              <w:rPr>
                <w:rFonts w:cs="Arial"/>
                <w:sz w:val="20"/>
              </w:rPr>
            </w:pPr>
            <w:r>
              <w:rPr>
                <w:rFonts w:cs="Arial"/>
                <w:b/>
                <w:sz w:val="20"/>
              </w:rPr>
              <w:t>Participation sociale</w:t>
            </w:r>
            <w:r>
              <w:rPr>
                <w:rFonts w:cs="Arial"/>
                <w:sz w:val="20"/>
              </w:rPr>
              <w:t>: notamment participation des enfants, des familles et des acteurs de la société civile.</w:t>
            </w:r>
          </w:p>
          <w:p w:rsidR="0074642D" w:rsidRDefault="004D2618">
            <w:pPr>
              <w:pStyle w:val="Paragraphedeliste"/>
              <w:numPr>
                <w:ilvl w:val="0"/>
                <w:numId w:val="1"/>
              </w:numPr>
              <w:spacing w:line="240" w:lineRule="auto"/>
              <w:rPr>
                <w:rFonts w:cs="Arial"/>
                <w:sz w:val="20"/>
              </w:rPr>
            </w:pPr>
            <w:r>
              <w:rPr>
                <w:rFonts w:cs="Arial"/>
                <w:b/>
                <w:sz w:val="20"/>
              </w:rPr>
              <w:t>Mécanismes sociaux</w:t>
            </w:r>
            <w:r>
              <w:rPr>
                <w:rFonts w:cs="Arial"/>
                <w:sz w:val="20"/>
              </w:rPr>
              <w:t>: recommandations vers des spécialistes, gestion des cas, soutien social.</w:t>
            </w:r>
          </w:p>
        </w:tc>
      </w:tr>
      <w:tr w:rsidR="0074642D">
        <w:tc>
          <w:tcPr>
            <w:tcW w:w="2303" w:type="dxa"/>
            <w:shd w:val="clear" w:color="auto" w:fill="DBE5F1" w:themeFill="accent1" w:themeFillTint="33"/>
          </w:tcPr>
          <w:p w:rsidR="0074642D" w:rsidRDefault="000872F4">
            <w:pPr>
              <w:tabs>
                <w:tab w:val="left" w:pos="3960"/>
              </w:tabs>
              <w:spacing w:line="240" w:lineRule="auto"/>
              <w:rPr>
                <w:rFonts w:ascii="Calibri" w:eastAsia="Calibri" w:hAnsi="Calibri" w:cs="Calibri"/>
                <w:b/>
              </w:rPr>
            </w:pPr>
            <w:r>
              <w:rPr>
                <w:rFonts w:ascii="Calibri" w:eastAsia="Calibri" w:hAnsi="Calibri" w:cs="Calibri"/>
                <w:b/>
              </w:rPr>
              <w:lastRenderedPageBreak/>
              <w:t>Ce qu’il mesure</w:t>
            </w:r>
          </w:p>
          <w:p w:rsidR="0074642D" w:rsidRDefault="004D2618">
            <w:pPr>
              <w:tabs>
                <w:tab w:val="left" w:pos="3960"/>
              </w:tabs>
              <w:spacing w:line="240" w:lineRule="auto"/>
              <w:rPr>
                <w:rFonts w:ascii="Calibri" w:eastAsia="Calibri" w:hAnsi="Calibri" w:cs="Calibri"/>
                <w:b/>
              </w:rPr>
            </w:pPr>
            <w:r>
              <w:rPr>
                <w:rFonts w:ascii="Arial" w:hAnsi="Arial" w:cs="Arial"/>
                <w:noProof/>
                <w:lang w:eastAsia="fr-CH"/>
              </w:rPr>
              <w:drawing>
                <wp:inline distT="0" distB="0" distL="0" distR="0" wp14:anchorId="32ED841A" wp14:editId="5CF1B037">
                  <wp:extent cx="496800" cy="4968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08 Decent work and economic grow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6800" cy="496800"/>
                          </a:xfrm>
                          <a:prstGeom prst="rect">
                            <a:avLst/>
                          </a:prstGeom>
                        </pic:spPr>
                      </pic:pic>
                    </a:graphicData>
                  </a:graphic>
                </wp:inline>
              </w:drawing>
            </w:r>
          </w:p>
        </w:tc>
        <w:tc>
          <w:tcPr>
            <w:tcW w:w="6877" w:type="dxa"/>
            <w:shd w:val="clear" w:color="auto" w:fill="FFFFFF" w:themeFill="background1"/>
          </w:tcPr>
          <w:p w:rsidR="0074642D" w:rsidRDefault="004D2618">
            <w:pPr>
              <w:spacing w:line="240" w:lineRule="auto"/>
              <w:rPr>
                <w:rFonts w:eastAsiaTheme="minorEastAsia"/>
                <w:sz w:val="20"/>
              </w:rPr>
            </w:pPr>
            <w:r>
              <w:rPr>
                <w:rFonts w:eastAsiaTheme="minorEastAsia"/>
                <w:b/>
                <w:sz w:val="20"/>
              </w:rPr>
              <w:t>Intérêt :</w:t>
            </w:r>
            <w:r>
              <w:rPr>
                <w:rFonts w:eastAsiaTheme="minorEastAsia"/>
                <w:sz w:val="20"/>
              </w:rPr>
              <w:t xml:space="preserve"> Mesurer le volume et l'effet des services sociaux et de protection ainsi que des mécanismes </w:t>
            </w:r>
            <w:r w:rsidR="008C112C">
              <w:rPr>
                <w:rFonts w:eastAsiaTheme="minorEastAsia"/>
                <w:sz w:val="20"/>
              </w:rPr>
              <w:t xml:space="preserve">auxquels les enfants et les jeunes ont eu accès, </w:t>
            </w:r>
            <w:r>
              <w:rPr>
                <w:rFonts w:eastAsiaTheme="minorEastAsia"/>
                <w:sz w:val="20"/>
              </w:rPr>
              <w:t>à court et moyen terme.</w:t>
            </w:r>
          </w:p>
          <w:p w:rsidR="0074642D" w:rsidRDefault="004D2618" w:rsidP="008C112C">
            <w:pPr>
              <w:spacing w:line="240" w:lineRule="auto"/>
              <w:rPr>
                <w:rFonts w:eastAsiaTheme="minorEastAsia"/>
                <w:sz w:val="20"/>
              </w:rPr>
            </w:pPr>
            <w:r>
              <w:rPr>
                <w:rFonts w:eastAsiaTheme="minorEastAsia"/>
                <w:b/>
                <w:sz w:val="20"/>
              </w:rPr>
              <w:t>Limites :</w:t>
            </w:r>
            <w:r>
              <w:rPr>
                <w:rFonts w:eastAsiaTheme="minorEastAsia"/>
                <w:sz w:val="20"/>
              </w:rPr>
              <w:t xml:space="preserve"> L'effet mesuré peut </w:t>
            </w:r>
            <w:r w:rsidR="008C112C">
              <w:rPr>
                <w:rFonts w:eastAsiaTheme="minorEastAsia"/>
                <w:sz w:val="20"/>
              </w:rPr>
              <w:t xml:space="preserve">être le résultat </w:t>
            </w:r>
            <w:r>
              <w:rPr>
                <w:rFonts w:eastAsiaTheme="minorEastAsia"/>
                <w:sz w:val="20"/>
              </w:rPr>
              <w:t xml:space="preserve">de facteurs externes (par exemple : migration ou amélioration indépendante des moyens de subsistance de la famille) et </w:t>
            </w:r>
            <w:r w:rsidR="008C112C">
              <w:rPr>
                <w:rFonts w:eastAsiaTheme="minorEastAsia"/>
                <w:sz w:val="20"/>
              </w:rPr>
              <w:t>ne pas être lié</w:t>
            </w:r>
            <w:r>
              <w:rPr>
                <w:rFonts w:eastAsiaTheme="minorEastAsia"/>
                <w:sz w:val="20"/>
              </w:rPr>
              <w:t xml:space="preserve"> à l'intervention de Tdh. </w:t>
            </w:r>
          </w:p>
        </w:tc>
      </w:tr>
      <w:tr w:rsidR="0074642D">
        <w:tc>
          <w:tcPr>
            <w:tcW w:w="2303" w:type="dxa"/>
            <w:shd w:val="clear" w:color="auto" w:fill="DBE5F1" w:themeFill="accent1" w:themeFillTint="33"/>
          </w:tcPr>
          <w:p w:rsidR="0074642D" w:rsidRDefault="004D2618">
            <w:pPr>
              <w:tabs>
                <w:tab w:val="left" w:pos="3960"/>
              </w:tabs>
              <w:spacing w:line="240" w:lineRule="auto"/>
              <w:rPr>
                <w:rFonts w:ascii="Calibri" w:eastAsia="Calibri" w:hAnsi="Calibri" w:cs="Calibri"/>
                <w:b/>
              </w:rPr>
            </w:pPr>
            <w:r>
              <w:rPr>
                <w:rFonts w:ascii="Calibri" w:eastAsia="Calibri" w:hAnsi="Calibri" w:cs="Calibri"/>
                <w:b/>
              </w:rPr>
              <w:t xml:space="preserve">Unité et désagrégation </w:t>
            </w:r>
          </w:p>
        </w:tc>
        <w:tc>
          <w:tcPr>
            <w:tcW w:w="6877" w:type="dxa"/>
            <w:shd w:val="clear" w:color="auto" w:fill="FFFFFF" w:themeFill="background1"/>
          </w:tcPr>
          <w:p w:rsidR="0074642D" w:rsidRDefault="004D2618">
            <w:pPr>
              <w:spacing w:line="240" w:lineRule="auto"/>
              <w:rPr>
                <w:rFonts w:eastAsiaTheme="minorEastAsia"/>
                <w:b/>
                <w:sz w:val="20"/>
              </w:rPr>
            </w:pPr>
            <w:r>
              <w:rPr>
                <w:rFonts w:eastAsiaTheme="minorEastAsia"/>
                <w:b/>
                <w:sz w:val="20"/>
              </w:rPr>
              <w:t>Unité de mesure :</w:t>
            </w:r>
          </w:p>
          <w:p w:rsidR="0074642D" w:rsidRDefault="004D2618">
            <w:pPr>
              <w:spacing w:line="240" w:lineRule="auto"/>
              <w:rPr>
                <w:rFonts w:eastAsiaTheme="minorEastAsia"/>
                <w:sz w:val="20"/>
              </w:rPr>
            </w:pPr>
            <w:r>
              <w:rPr>
                <w:rFonts w:eastAsiaTheme="minorEastAsia"/>
                <w:sz w:val="20"/>
              </w:rPr>
              <w:t xml:space="preserve">Nombre d'individus (enfants et jeunes) </w:t>
            </w:r>
          </w:p>
          <w:p w:rsidR="0074642D" w:rsidRDefault="004D2618" w:rsidP="00F9758D">
            <w:pPr>
              <w:spacing w:line="240" w:lineRule="auto"/>
              <w:rPr>
                <w:rFonts w:eastAsiaTheme="minorEastAsia"/>
                <w:i/>
                <w:sz w:val="20"/>
              </w:rPr>
            </w:pPr>
            <w:r>
              <w:rPr>
                <w:rFonts w:eastAsiaTheme="minorEastAsia"/>
                <w:b/>
                <w:sz w:val="20"/>
              </w:rPr>
              <w:t>Désagrégation</w:t>
            </w:r>
            <w:r>
              <w:rPr>
                <w:rFonts w:eastAsiaTheme="minorEastAsia"/>
                <w:sz w:val="20"/>
              </w:rPr>
              <w:t> : Genre, âge (6-12, 13-17 pour le travail des enfants sous toutes ses formes, 18-25 pour le</w:t>
            </w:r>
            <w:r w:rsidR="00F9758D">
              <w:rPr>
                <w:rFonts w:eastAsiaTheme="minorEastAsia"/>
                <w:sz w:val="20"/>
              </w:rPr>
              <w:t>s</w:t>
            </w:r>
            <w:r>
              <w:rPr>
                <w:rFonts w:eastAsiaTheme="minorEastAsia"/>
                <w:sz w:val="20"/>
              </w:rPr>
              <w:t xml:space="preserve"> </w:t>
            </w:r>
            <w:r w:rsidR="00F9758D">
              <w:rPr>
                <w:rFonts w:eastAsiaTheme="minorEastAsia"/>
                <w:sz w:val="20"/>
              </w:rPr>
              <w:t xml:space="preserve">travaux </w:t>
            </w:r>
            <w:r>
              <w:rPr>
                <w:rFonts w:eastAsiaTheme="minorEastAsia"/>
                <w:sz w:val="20"/>
              </w:rPr>
              <w:t>dangereux), les enfants en déplacement ou non, statut : retiré</w:t>
            </w:r>
            <w:r w:rsidR="00F9758D">
              <w:rPr>
                <w:rFonts w:eastAsiaTheme="minorEastAsia"/>
                <w:sz w:val="20"/>
              </w:rPr>
              <w:t>/(</w:t>
            </w:r>
            <w:r w:rsidR="00A25D09">
              <w:rPr>
                <w:rFonts w:eastAsiaTheme="minorEastAsia"/>
                <w:sz w:val="20"/>
              </w:rPr>
              <w:t xml:space="preserve"> </w:t>
            </w:r>
            <w:r>
              <w:rPr>
                <w:rFonts w:eastAsiaTheme="minorEastAsia"/>
                <w:sz w:val="20"/>
              </w:rPr>
              <w:t>conditions de travail améliorées.</w:t>
            </w:r>
          </w:p>
        </w:tc>
      </w:tr>
      <w:tr w:rsidR="0074642D">
        <w:tc>
          <w:tcPr>
            <w:tcW w:w="2303" w:type="dxa"/>
            <w:shd w:val="clear" w:color="auto" w:fill="DBE5F1" w:themeFill="accent1" w:themeFillTint="33"/>
          </w:tcPr>
          <w:p w:rsidR="0074642D" w:rsidRDefault="004D2618" w:rsidP="000872F4">
            <w:pPr>
              <w:tabs>
                <w:tab w:val="left" w:pos="3960"/>
              </w:tabs>
              <w:spacing w:line="240" w:lineRule="auto"/>
              <w:rPr>
                <w:rFonts w:ascii="Calibri" w:eastAsia="Calibri" w:hAnsi="Calibri" w:cs="Calibri"/>
                <w:b/>
              </w:rPr>
            </w:pPr>
            <w:r>
              <w:rPr>
                <w:rFonts w:ascii="Calibri" w:eastAsia="Calibri" w:hAnsi="Calibri" w:cs="Calibri"/>
                <w:b/>
              </w:rPr>
              <w:t>Mod</w:t>
            </w:r>
            <w:r w:rsidR="000872F4">
              <w:rPr>
                <w:rFonts w:ascii="Calibri" w:eastAsia="Calibri" w:hAnsi="Calibri" w:cs="Calibri"/>
                <w:b/>
              </w:rPr>
              <w:t>e</w:t>
            </w:r>
            <w:r>
              <w:rPr>
                <w:rFonts w:ascii="Calibri" w:eastAsia="Calibri" w:hAnsi="Calibri" w:cs="Calibri"/>
                <w:b/>
              </w:rPr>
              <w:t xml:space="preserve">s de calcul </w:t>
            </w:r>
          </w:p>
        </w:tc>
        <w:tc>
          <w:tcPr>
            <w:tcW w:w="6877" w:type="dxa"/>
            <w:shd w:val="clear" w:color="auto" w:fill="FFFFFF" w:themeFill="background1"/>
          </w:tcPr>
          <w:p w:rsidR="0074642D" w:rsidRDefault="004D2618">
            <w:pPr>
              <w:spacing w:line="240" w:lineRule="auto"/>
              <w:rPr>
                <w:rFonts w:eastAsiaTheme="minorEastAsia"/>
                <w:sz w:val="20"/>
              </w:rPr>
            </w:pPr>
            <w:r>
              <w:rPr>
                <w:rFonts w:eastAsiaTheme="minorEastAsia"/>
                <w:sz w:val="20"/>
              </w:rPr>
              <w:t xml:space="preserve">Somme des enfants qui ont bénéficié de services de protection sociale pour lesquels une amélioration de la situation ou un retrait de l'exploitation a été démontrée. </w:t>
            </w:r>
          </w:p>
          <w:p w:rsidR="0074642D" w:rsidRDefault="004D2618">
            <w:pPr>
              <w:spacing w:line="240" w:lineRule="auto"/>
              <w:rPr>
                <w:rFonts w:eastAsiaTheme="minorEastAsia"/>
                <w:sz w:val="20"/>
              </w:rPr>
            </w:pPr>
            <w:r>
              <w:rPr>
                <w:rFonts w:eastAsiaTheme="minorEastAsia"/>
                <w:sz w:val="20"/>
              </w:rPr>
              <w:t xml:space="preserve">Ce n'est pas une somme d'activités, mais la somme des personnes qui </w:t>
            </w:r>
            <w:r w:rsidR="00086C1F">
              <w:rPr>
                <w:rFonts w:eastAsiaTheme="minorEastAsia"/>
                <w:sz w:val="20"/>
              </w:rPr>
              <w:t xml:space="preserve">ont bénéficié </w:t>
            </w:r>
            <w:r>
              <w:rPr>
                <w:rFonts w:eastAsiaTheme="minorEastAsia"/>
                <w:sz w:val="20"/>
              </w:rPr>
              <w:t>des services.</w:t>
            </w:r>
          </w:p>
          <w:p w:rsidR="0074642D" w:rsidRDefault="004D2618">
            <w:pPr>
              <w:spacing w:line="240" w:lineRule="auto"/>
              <w:rPr>
                <w:rFonts w:eastAsiaTheme="minorEastAsia"/>
                <w:sz w:val="20"/>
              </w:rPr>
            </w:pPr>
            <w:r>
              <w:rPr>
                <w:rFonts w:eastAsiaTheme="minorEastAsia"/>
                <w:sz w:val="20"/>
              </w:rPr>
              <w:t xml:space="preserve">Toute personne bénéficiant de plus d'un service ne doit pas être comptée plus d'une fois. </w:t>
            </w:r>
          </w:p>
        </w:tc>
      </w:tr>
      <w:tr w:rsidR="0074642D">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4642D" w:rsidRDefault="000872F4">
            <w:pPr>
              <w:tabs>
                <w:tab w:val="left" w:pos="3960"/>
              </w:tabs>
              <w:spacing w:line="240" w:lineRule="auto"/>
              <w:rPr>
                <w:rFonts w:ascii="Calibri" w:eastAsia="Calibri" w:hAnsi="Calibri" w:cs="Calibri"/>
                <w:b/>
              </w:rPr>
            </w:pPr>
            <w:r>
              <w:rPr>
                <w:rFonts w:ascii="Calibri" w:eastAsia="Calibri" w:hAnsi="Calibri" w:cs="Calibri"/>
                <w:b/>
              </w:rPr>
              <w:t>Baseline</w:t>
            </w:r>
            <w:r w:rsidR="004D2618">
              <w:rPr>
                <w:rFonts w:ascii="Calibri" w:eastAsia="Calibri" w:hAnsi="Calibri" w:cs="Calibri"/>
                <w:b/>
              </w:rPr>
              <w:t xml:space="preserve"> </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74642D" w:rsidRDefault="004D2618">
            <w:pPr>
              <w:spacing w:line="240" w:lineRule="auto"/>
              <w:rPr>
                <w:rFonts w:eastAsiaTheme="minorEastAsia"/>
                <w:sz w:val="20"/>
              </w:rPr>
            </w:pPr>
            <w:r>
              <w:rPr>
                <w:rFonts w:eastAsiaTheme="minorEastAsia"/>
                <w:sz w:val="20"/>
              </w:rPr>
              <w:t>Le degré d'adaptabilité du service fourni en réponse à la situation de l'enfant et de sa famille, ainsi que sa capacité à l'améliorer, devraient être évalués autant que possible.</w:t>
            </w:r>
          </w:p>
          <w:p w:rsidR="0074642D" w:rsidRDefault="004D2618">
            <w:pPr>
              <w:spacing w:line="240" w:lineRule="auto"/>
              <w:rPr>
                <w:sz w:val="20"/>
              </w:rPr>
            </w:pPr>
            <w:r>
              <w:rPr>
                <w:rFonts w:eastAsiaTheme="minorEastAsia"/>
                <w:sz w:val="20"/>
              </w:rPr>
              <w:t>Si un fichier individuel est ouvert pour un enfant, l'évaluation effectuée par le travailleur social peut servir de base de référence.</w:t>
            </w:r>
          </w:p>
        </w:tc>
      </w:tr>
      <w:tr w:rsidR="0074642D">
        <w:tc>
          <w:tcPr>
            <w:tcW w:w="2303" w:type="dxa"/>
            <w:shd w:val="clear" w:color="auto" w:fill="DBE5F1" w:themeFill="accent1" w:themeFillTint="33"/>
          </w:tcPr>
          <w:p w:rsidR="0074642D" w:rsidRDefault="004D2618">
            <w:pPr>
              <w:tabs>
                <w:tab w:val="left" w:pos="3960"/>
              </w:tabs>
              <w:spacing w:line="240" w:lineRule="auto"/>
              <w:rPr>
                <w:rFonts w:ascii="Calibri" w:eastAsia="Calibri" w:hAnsi="Calibri" w:cs="Calibri"/>
                <w:b/>
              </w:rPr>
            </w:pPr>
            <w:r>
              <w:rPr>
                <w:rFonts w:ascii="Calibri" w:eastAsia="Calibri" w:hAnsi="Calibri" w:cs="Calibri"/>
                <w:b/>
              </w:rPr>
              <w:lastRenderedPageBreak/>
              <w:t>Collecte de données, sources et méthodes</w:t>
            </w:r>
          </w:p>
          <w:p w:rsidR="0074642D" w:rsidRDefault="0074642D">
            <w:pPr>
              <w:tabs>
                <w:tab w:val="left" w:pos="3960"/>
              </w:tabs>
              <w:spacing w:line="240" w:lineRule="auto"/>
              <w:rPr>
                <w:rFonts w:ascii="Calibri" w:eastAsia="Calibri" w:hAnsi="Calibri" w:cs="Calibri"/>
                <w:b/>
              </w:rPr>
            </w:pPr>
          </w:p>
        </w:tc>
        <w:tc>
          <w:tcPr>
            <w:tcW w:w="6877" w:type="dxa"/>
            <w:shd w:val="clear" w:color="auto" w:fill="FFFFFF" w:themeFill="background1"/>
          </w:tcPr>
          <w:p w:rsidR="0074642D" w:rsidRDefault="004D2618">
            <w:pPr>
              <w:spacing w:line="240" w:lineRule="auto"/>
              <w:rPr>
                <w:rFonts w:eastAsiaTheme="minorEastAsia"/>
                <w:sz w:val="20"/>
              </w:rPr>
            </w:pPr>
            <w:r>
              <w:rPr>
                <w:rFonts w:eastAsiaTheme="minorEastAsia"/>
                <w:b/>
                <w:sz w:val="20"/>
              </w:rPr>
              <w:t>Sources</w:t>
            </w:r>
            <w:r>
              <w:rPr>
                <w:rFonts w:eastAsiaTheme="minorEastAsia"/>
                <w:sz w:val="20"/>
              </w:rPr>
              <w:t> : Enfants, famille et membres de la communauté qui ont bénéficié des services. Dossier individuel de l’enfant, en absence de formulaire de supervision – rapport de la conférence de cas.</w:t>
            </w:r>
          </w:p>
          <w:p w:rsidR="0074642D" w:rsidRDefault="004D2618" w:rsidP="00640EFA">
            <w:pPr>
              <w:spacing w:line="240" w:lineRule="auto"/>
              <w:rPr>
                <w:rFonts w:eastAsiaTheme="minorEastAsia"/>
                <w:sz w:val="20"/>
              </w:rPr>
            </w:pPr>
            <w:r>
              <w:rPr>
                <w:rFonts w:eastAsiaTheme="minorEastAsia"/>
                <w:b/>
                <w:sz w:val="20"/>
              </w:rPr>
              <w:t>Méthodes</w:t>
            </w:r>
            <w:r>
              <w:rPr>
                <w:rFonts w:eastAsiaTheme="minorEastAsia"/>
                <w:sz w:val="20"/>
              </w:rPr>
              <w:t xml:space="preserve"> : Examen régulier du dossier individuel, complété par </w:t>
            </w:r>
            <w:r w:rsidR="00640EFA">
              <w:rPr>
                <w:rFonts w:eastAsiaTheme="minorEastAsia"/>
                <w:sz w:val="20"/>
              </w:rPr>
              <w:t>toute</w:t>
            </w:r>
            <w:r>
              <w:rPr>
                <w:rFonts w:eastAsiaTheme="minorEastAsia"/>
                <w:sz w:val="20"/>
              </w:rPr>
              <w:t xml:space="preserve"> forme d</w:t>
            </w:r>
            <w:r w:rsidR="00640EFA">
              <w:rPr>
                <w:rFonts w:eastAsiaTheme="minorEastAsia"/>
                <w:sz w:val="20"/>
              </w:rPr>
              <w:t>’</w:t>
            </w:r>
            <w:r>
              <w:rPr>
                <w:rFonts w:eastAsiaTheme="minorEastAsia"/>
                <w:sz w:val="20"/>
              </w:rPr>
              <w:t xml:space="preserve">étude ou d'évaluation </w:t>
            </w:r>
            <w:r w:rsidR="00640EFA">
              <w:rPr>
                <w:rFonts w:eastAsiaTheme="minorEastAsia"/>
                <w:sz w:val="20"/>
              </w:rPr>
              <w:t xml:space="preserve">ex post </w:t>
            </w:r>
            <w:r>
              <w:rPr>
                <w:rFonts w:eastAsiaTheme="minorEastAsia"/>
                <w:sz w:val="20"/>
              </w:rPr>
              <w:t xml:space="preserve">(questionnaire ouvert, entretien individuel de l’enfant ou de ses parents, évaluation faite par le travailleur social). </w:t>
            </w:r>
          </w:p>
        </w:tc>
      </w:tr>
      <w:tr w:rsidR="0074642D">
        <w:tc>
          <w:tcPr>
            <w:tcW w:w="2303" w:type="dxa"/>
            <w:shd w:val="clear" w:color="auto" w:fill="DBE5F1" w:themeFill="accent1" w:themeFillTint="33"/>
          </w:tcPr>
          <w:p w:rsidR="0074642D" w:rsidRDefault="000872F4">
            <w:pPr>
              <w:tabs>
                <w:tab w:val="left" w:pos="3960"/>
              </w:tabs>
              <w:spacing w:line="240" w:lineRule="auto"/>
              <w:rPr>
                <w:rFonts w:ascii="Calibri" w:eastAsia="Calibri" w:hAnsi="Calibri" w:cs="Calibri"/>
                <w:b/>
              </w:rPr>
            </w:pPr>
            <w:r w:rsidRPr="009926E5">
              <w:rPr>
                <w:b/>
                <w:bCs/>
              </w:rPr>
              <w:t xml:space="preserve">Sources et méthodes de collecte </w:t>
            </w:r>
          </w:p>
        </w:tc>
        <w:tc>
          <w:tcPr>
            <w:tcW w:w="6877" w:type="dxa"/>
            <w:shd w:val="clear" w:color="auto" w:fill="FFFFFF" w:themeFill="background1"/>
          </w:tcPr>
          <w:p w:rsidR="0074642D" w:rsidRDefault="00640EFA">
            <w:pPr>
              <w:spacing w:line="240" w:lineRule="auto"/>
              <w:rPr>
                <w:rFonts w:eastAsiaTheme="minorEastAsia"/>
                <w:i/>
                <w:sz w:val="20"/>
              </w:rPr>
            </w:pPr>
            <w:r>
              <w:rPr>
                <w:rFonts w:eastAsia="Calibri" w:cs="Times New Roman"/>
                <w:sz w:val="20"/>
              </w:rPr>
              <w:t>Q</w:t>
            </w:r>
            <w:r w:rsidR="004D2618">
              <w:rPr>
                <w:rFonts w:eastAsia="Calibri" w:cs="Times New Roman"/>
                <w:sz w:val="20"/>
              </w:rPr>
              <w:t xml:space="preserve">uestionnaires </w:t>
            </w:r>
            <w:r>
              <w:rPr>
                <w:rFonts w:eastAsia="Calibri" w:cs="Times New Roman"/>
                <w:sz w:val="20"/>
              </w:rPr>
              <w:t>ex post/ex ante</w:t>
            </w:r>
            <w:r w:rsidR="004D2618">
              <w:rPr>
                <w:rFonts w:eastAsia="Calibri" w:cs="Times New Roman"/>
                <w:sz w:val="20"/>
              </w:rPr>
              <w:t>(Tdh ne dispose d'aucun outil normalisé pour la collecte de données pour le moment).</w:t>
            </w:r>
          </w:p>
        </w:tc>
      </w:tr>
      <w:tr w:rsidR="0074642D">
        <w:tc>
          <w:tcPr>
            <w:tcW w:w="2303" w:type="dxa"/>
            <w:tcBorders>
              <w:bottom w:val="single" w:sz="4" w:space="0" w:color="auto"/>
            </w:tcBorders>
            <w:shd w:val="clear" w:color="auto" w:fill="DBE5F1" w:themeFill="accent1" w:themeFillTint="33"/>
          </w:tcPr>
          <w:p w:rsidR="0074642D" w:rsidRDefault="000872F4">
            <w:pPr>
              <w:tabs>
                <w:tab w:val="left" w:pos="3960"/>
              </w:tabs>
              <w:spacing w:line="240" w:lineRule="auto"/>
              <w:rPr>
                <w:rFonts w:ascii="Calibri" w:eastAsia="Calibri" w:hAnsi="Calibri" w:cs="Calibri"/>
                <w:b/>
              </w:rPr>
            </w:pPr>
            <w:r>
              <w:rPr>
                <w:rFonts w:ascii="Calibri" w:eastAsia="Calibri" w:hAnsi="Calibri" w:cs="Calibri"/>
                <w:b/>
              </w:rPr>
              <w:t>Temporalité</w:t>
            </w:r>
          </w:p>
        </w:tc>
        <w:tc>
          <w:tcPr>
            <w:tcW w:w="6877" w:type="dxa"/>
            <w:shd w:val="clear" w:color="auto" w:fill="FFFFFF" w:themeFill="background1"/>
          </w:tcPr>
          <w:p w:rsidR="0074642D" w:rsidRDefault="004D2618">
            <w:pPr>
              <w:spacing w:line="240" w:lineRule="auto"/>
              <w:rPr>
                <w:rFonts w:eastAsiaTheme="minorEastAsia"/>
                <w:sz w:val="20"/>
              </w:rPr>
            </w:pPr>
            <w:r>
              <w:rPr>
                <w:rFonts w:eastAsiaTheme="minorEastAsia"/>
                <w:sz w:val="20"/>
              </w:rPr>
              <w:t>L</w:t>
            </w:r>
            <w:r w:rsidR="00E160FE">
              <w:rPr>
                <w:rFonts w:eastAsiaTheme="minorEastAsia"/>
                <w:sz w:val="20"/>
              </w:rPr>
              <w:t>‘</w:t>
            </w:r>
            <w:r>
              <w:rPr>
                <w:rFonts w:eastAsiaTheme="minorEastAsia"/>
                <w:sz w:val="20"/>
              </w:rPr>
              <w:t>évaluation</w:t>
            </w:r>
            <w:r w:rsidR="00E160FE">
              <w:rPr>
                <w:rFonts w:eastAsiaTheme="minorEastAsia"/>
                <w:sz w:val="20"/>
              </w:rPr>
              <w:t xml:space="preserve"> ex post/ex ante</w:t>
            </w:r>
            <w:r>
              <w:rPr>
                <w:rFonts w:eastAsiaTheme="minorEastAsia"/>
                <w:sz w:val="20"/>
              </w:rPr>
              <w:t xml:space="preserve"> devrait être réalisée avant/après chaque cycle d'activité, au cours de l’examen périodique par le travailleur social.</w:t>
            </w:r>
          </w:p>
          <w:p w:rsidR="0074642D" w:rsidRDefault="004D2618" w:rsidP="00E160FE">
            <w:pPr>
              <w:spacing w:line="240" w:lineRule="auto"/>
              <w:rPr>
                <w:rFonts w:eastAsiaTheme="minorEastAsia"/>
                <w:i/>
                <w:sz w:val="20"/>
              </w:rPr>
            </w:pPr>
            <w:r>
              <w:rPr>
                <w:rFonts w:eastAsiaTheme="minorEastAsia"/>
                <w:sz w:val="20"/>
              </w:rPr>
              <w:t xml:space="preserve">La consolidation des données </w:t>
            </w:r>
            <w:r w:rsidR="00E160FE">
              <w:rPr>
                <w:rFonts w:eastAsiaTheme="minorEastAsia"/>
                <w:sz w:val="20"/>
              </w:rPr>
              <w:t xml:space="preserve">doit </w:t>
            </w:r>
            <w:r>
              <w:rPr>
                <w:rFonts w:eastAsiaTheme="minorEastAsia"/>
                <w:sz w:val="20"/>
              </w:rPr>
              <w:t xml:space="preserve">être faite tous les six mois et partagée au niveau régional – niveau du </w:t>
            </w:r>
            <w:r w:rsidR="00E160FE">
              <w:rPr>
                <w:rFonts w:eastAsiaTheme="minorEastAsia"/>
                <w:sz w:val="20"/>
              </w:rPr>
              <w:t>siège</w:t>
            </w:r>
            <w:r>
              <w:rPr>
                <w:rFonts w:eastAsiaTheme="minorEastAsia"/>
                <w:sz w:val="20"/>
              </w:rPr>
              <w:t>.</w:t>
            </w:r>
          </w:p>
        </w:tc>
      </w:tr>
      <w:tr w:rsidR="0074642D">
        <w:tc>
          <w:tcPr>
            <w:tcW w:w="2303" w:type="dxa"/>
            <w:tcBorders>
              <w:top w:val="single" w:sz="4" w:space="0" w:color="auto"/>
            </w:tcBorders>
            <w:shd w:val="clear" w:color="auto" w:fill="DBE5F1" w:themeFill="accent1" w:themeFillTint="33"/>
          </w:tcPr>
          <w:p w:rsidR="0074642D" w:rsidRDefault="004D2618">
            <w:pPr>
              <w:tabs>
                <w:tab w:val="left" w:pos="3960"/>
              </w:tabs>
              <w:spacing w:line="240" w:lineRule="auto"/>
              <w:rPr>
                <w:rFonts w:ascii="Calibri" w:eastAsia="Calibri" w:hAnsi="Calibri" w:cs="Calibri"/>
                <w:b/>
              </w:rPr>
            </w:pPr>
            <w:r>
              <w:rPr>
                <w:rFonts w:ascii="Calibri" w:eastAsia="Calibri" w:hAnsi="Calibri" w:cs="Calibri"/>
                <w:b/>
              </w:rPr>
              <w:t>Rôles et responsabilités</w:t>
            </w:r>
          </w:p>
        </w:tc>
        <w:tc>
          <w:tcPr>
            <w:tcW w:w="6877" w:type="dxa"/>
            <w:shd w:val="clear" w:color="auto" w:fill="FFFFFF" w:themeFill="background1"/>
          </w:tcPr>
          <w:p w:rsidR="004641E0" w:rsidRDefault="004641E0" w:rsidP="004641E0">
            <w:pPr>
              <w:pStyle w:val="Paragraphedeliste"/>
              <w:numPr>
                <w:ilvl w:val="0"/>
                <w:numId w:val="2"/>
              </w:numPr>
              <w:spacing w:line="240" w:lineRule="auto"/>
              <w:rPr>
                <w:rFonts w:eastAsiaTheme="minorEastAsia"/>
                <w:sz w:val="20"/>
              </w:rPr>
            </w:pPr>
            <w:r>
              <w:rPr>
                <w:rFonts w:eastAsiaTheme="minorEastAsia"/>
                <w:sz w:val="20"/>
              </w:rPr>
              <w:t xml:space="preserve">Conception de l’outil : Coordinateur de projet avec appui du personnel M&amp;E </w:t>
            </w:r>
          </w:p>
          <w:p w:rsidR="004641E0" w:rsidRDefault="004641E0" w:rsidP="004641E0">
            <w:pPr>
              <w:pStyle w:val="Paragraphedeliste"/>
              <w:numPr>
                <w:ilvl w:val="0"/>
                <w:numId w:val="2"/>
              </w:numPr>
              <w:spacing w:line="240" w:lineRule="auto"/>
              <w:rPr>
                <w:rFonts w:eastAsiaTheme="minorEastAsia"/>
                <w:sz w:val="20"/>
              </w:rPr>
            </w:pPr>
            <w:r>
              <w:rPr>
                <w:rFonts w:eastAsiaTheme="minorEastAsia"/>
                <w:sz w:val="20"/>
              </w:rPr>
              <w:t>Saisie des données : Équipe M&amp;E (agent de saisie de données) ou chef de projet (selon l’organisation de la</w:t>
            </w:r>
            <w:r w:rsidR="000872F4">
              <w:rPr>
                <w:rFonts w:eastAsiaTheme="minorEastAsia"/>
                <w:sz w:val="20"/>
              </w:rPr>
              <w:t xml:space="preserve"> </w:t>
            </w:r>
            <w:r>
              <w:rPr>
                <w:rFonts w:eastAsiaTheme="minorEastAsia"/>
                <w:sz w:val="20"/>
              </w:rPr>
              <w:t xml:space="preserve">délégation mise en place) </w:t>
            </w:r>
          </w:p>
          <w:p w:rsidR="004641E0" w:rsidRDefault="004641E0" w:rsidP="004641E0">
            <w:pPr>
              <w:pStyle w:val="Paragraphedeliste"/>
              <w:numPr>
                <w:ilvl w:val="0"/>
                <w:numId w:val="2"/>
              </w:numPr>
              <w:spacing w:line="240" w:lineRule="auto"/>
              <w:rPr>
                <w:rFonts w:eastAsiaTheme="minorEastAsia"/>
                <w:sz w:val="20"/>
              </w:rPr>
            </w:pPr>
            <w:r>
              <w:rPr>
                <w:rFonts w:eastAsiaTheme="minorEastAsia"/>
                <w:sz w:val="20"/>
              </w:rPr>
              <w:t>Collecte des données : Travailleurs sociaux, supervision par le coordinateur de projet avec soutien de l’équipe M&amp;E</w:t>
            </w:r>
          </w:p>
          <w:p w:rsidR="004641E0" w:rsidRDefault="004641E0" w:rsidP="004641E0">
            <w:pPr>
              <w:pStyle w:val="Paragraphedeliste"/>
              <w:numPr>
                <w:ilvl w:val="0"/>
                <w:numId w:val="2"/>
              </w:numPr>
              <w:spacing w:line="240" w:lineRule="auto"/>
              <w:rPr>
                <w:rFonts w:eastAsiaTheme="minorEastAsia"/>
                <w:sz w:val="20"/>
              </w:rPr>
            </w:pPr>
            <w:r>
              <w:rPr>
                <w:rFonts w:eastAsiaTheme="minorEastAsia"/>
                <w:sz w:val="20"/>
              </w:rPr>
              <w:t>Analyse des données : Coordinateur de projet avec appui du coordinateur du programme</w:t>
            </w:r>
          </w:p>
          <w:p w:rsidR="004641E0" w:rsidRDefault="004641E0" w:rsidP="004641E0">
            <w:pPr>
              <w:pStyle w:val="Paragraphedeliste"/>
              <w:numPr>
                <w:ilvl w:val="0"/>
                <w:numId w:val="2"/>
              </w:numPr>
              <w:spacing w:line="240" w:lineRule="auto"/>
              <w:rPr>
                <w:rFonts w:eastAsiaTheme="minorEastAsia"/>
                <w:sz w:val="20"/>
              </w:rPr>
            </w:pPr>
            <w:r>
              <w:rPr>
                <w:rFonts w:eastAsiaTheme="minorEastAsia"/>
                <w:sz w:val="20"/>
              </w:rPr>
              <w:t>Agrégation des données et analyse : Conseiller au programme au siège</w:t>
            </w:r>
          </w:p>
          <w:p w:rsidR="0074642D" w:rsidRDefault="004641E0">
            <w:pPr>
              <w:pStyle w:val="Paragraphedeliste"/>
              <w:numPr>
                <w:ilvl w:val="0"/>
                <w:numId w:val="2"/>
              </w:numPr>
              <w:spacing w:line="240" w:lineRule="auto"/>
              <w:rPr>
                <w:rFonts w:eastAsiaTheme="minorEastAsia"/>
                <w:sz w:val="20"/>
              </w:rPr>
            </w:pPr>
            <w:r>
              <w:rPr>
                <w:rFonts w:eastAsiaTheme="minorEastAsia"/>
                <w:sz w:val="20"/>
              </w:rPr>
              <w:t>Validation et commentaires : Responsable programme au siège</w:t>
            </w:r>
          </w:p>
        </w:tc>
      </w:tr>
      <w:tr w:rsidR="0074642D">
        <w:tc>
          <w:tcPr>
            <w:tcW w:w="2303" w:type="dxa"/>
            <w:shd w:val="clear" w:color="auto" w:fill="DBE5F1" w:themeFill="accent1" w:themeFillTint="33"/>
          </w:tcPr>
          <w:p w:rsidR="0074642D" w:rsidRPr="000872F4" w:rsidRDefault="000872F4" w:rsidP="000872F4">
            <w:pPr>
              <w:spacing w:after="120" w:line="240" w:lineRule="auto"/>
              <w:contextualSpacing/>
              <w:jc w:val="both"/>
              <w:rPr>
                <w:b/>
                <w:bCs/>
              </w:rPr>
            </w:pPr>
            <w:r w:rsidRPr="009926E5">
              <w:rPr>
                <w:b/>
                <w:bCs/>
              </w:rPr>
              <w:t>Enjeux liés à la qualité préconisés</w:t>
            </w:r>
          </w:p>
        </w:tc>
        <w:tc>
          <w:tcPr>
            <w:tcW w:w="6877" w:type="dxa"/>
            <w:shd w:val="clear" w:color="auto" w:fill="FFFFFF" w:themeFill="background1"/>
          </w:tcPr>
          <w:p w:rsidR="0074642D" w:rsidRDefault="00E15FA2">
            <w:pPr>
              <w:pStyle w:val="Paragraphedeliste"/>
              <w:numPr>
                <w:ilvl w:val="0"/>
                <w:numId w:val="3"/>
              </w:numPr>
              <w:spacing w:line="240" w:lineRule="auto"/>
              <w:rPr>
                <w:rFonts w:eastAsiaTheme="minorEastAsia"/>
                <w:sz w:val="20"/>
              </w:rPr>
            </w:pPr>
            <w:r>
              <w:rPr>
                <w:rFonts w:eastAsiaTheme="minorEastAsia"/>
                <w:sz w:val="20"/>
              </w:rPr>
              <w:t xml:space="preserve">Risque que les activités de prévention diffèrent en termes de qualité (contenus, longueurs, pertinence...), conduisant à ce que des initiatives très courtes et isolées soient comptées, avec le risque qu’il n’y ait pas d’évaluation qualitative </w:t>
            </w:r>
            <w:r w:rsidR="004D2618">
              <w:rPr>
                <w:rFonts w:eastAsiaTheme="minorEastAsia"/>
                <w:sz w:val="20"/>
              </w:rPr>
              <w:t>du gain réel en matière de protection suite à ces activités.</w:t>
            </w:r>
            <w:r w:rsidR="00A25D09">
              <w:rPr>
                <w:rFonts w:eastAsiaTheme="minorEastAsia"/>
                <w:sz w:val="20"/>
              </w:rPr>
              <w:t xml:space="preserve"> </w:t>
            </w:r>
          </w:p>
          <w:p w:rsidR="0074642D" w:rsidRDefault="004D2618">
            <w:pPr>
              <w:pStyle w:val="Paragraphedeliste"/>
              <w:numPr>
                <w:ilvl w:val="0"/>
                <w:numId w:val="4"/>
              </w:numPr>
              <w:spacing w:line="240" w:lineRule="auto"/>
              <w:ind w:left="1068"/>
              <w:rPr>
                <w:rFonts w:eastAsiaTheme="minorEastAsia"/>
                <w:sz w:val="20"/>
              </w:rPr>
            </w:pPr>
            <w:r>
              <w:rPr>
                <w:rFonts w:eastAsiaTheme="minorEastAsia"/>
                <w:sz w:val="20"/>
              </w:rPr>
              <w:t>La qualité de l’indicateur est étroitement liée à la qualité de l’intervention.</w:t>
            </w:r>
            <w:r w:rsidR="00A25D09">
              <w:rPr>
                <w:rFonts w:eastAsiaTheme="minorEastAsia"/>
                <w:sz w:val="20"/>
              </w:rPr>
              <w:t xml:space="preserve"> </w:t>
            </w:r>
            <w:r>
              <w:rPr>
                <w:rFonts w:eastAsiaTheme="minorEastAsia"/>
                <w:sz w:val="20"/>
              </w:rPr>
              <w:t xml:space="preserve">Seuls les processus de qualité qui visent à assurer un soutien pertinent aux bénéficiaires </w:t>
            </w:r>
            <w:r w:rsidR="00E15FA2">
              <w:rPr>
                <w:rFonts w:eastAsiaTheme="minorEastAsia"/>
                <w:sz w:val="20"/>
              </w:rPr>
              <w:t>sont</w:t>
            </w:r>
            <w:r>
              <w:rPr>
                <w:rFonts w:eastAsiaTheme="minorEastAsia"/>
                <w:sz w:val="20"/>
              </w:rPr>
              <w:t xml:space="preserve"> concernés. </w:t>
            </w:r>
            <w:r w:rsidR="00E15FA2">
              <w:rPr>
                <w:rFonts w:eastAsiaTheme="minorEastAsia"/>
                <w:sz w:val="20"/>
              </w:rPr>
              <w:t>Il est recommandé</w:t>
            </w:r>
            <w:r>
              <w:rPr>
                <w:rFonts w:eastAsiaTheme="minorEastAsia"/>
                <w:sz w:val="20"/>
              </w:rPr>
              <w:t xml:space="preserve"> de garantir une norme minimale en ce qui concerne les mesures de protection. </w:t>
            </w:r>
          </w:p>
          <w:p w:rsidR="0074642D" w:rsidRDefault="004D2618">
            <w:pPr>
              <w:pStyle w:val="Paragraphedeliste"/>
              <w:numPr>
                <w:ilvl w:val="0"/>
                <w:numId w:val="4"/>
              </w:numPr>
              <w:spacing w:line="240" w:lineRule="auto"/>
              <w:ind w:left="1068"/>
              <w:rPr>
                <w:rFonts w:eastAsiaTheme="minorEastAsia"/>
                <w:sz w:val="20"/>
              </w:rPr>
            </w:pPr>
            <w:r>
              <w:rPr>
                <w:rFonts w:eastAsiaTheme="minorEastAsia"/>
                <w:sz w:val="20"/>
              </w:rPr>
              <w:t>Des mécanismes de supervision solides doivent être établis pour garantir la qualité et la pertinence des services.</w:t>
            </w:r>
            <w:r w:rsidR="00A25D09">
              <w:rPr>
                <w:rFonts w:eastAsiaTheme="minorEastAsia"/>
                <w:sz w:val="20"/>
              </w:rPr>
              <w:t xml:space="preserve"> </w:t>
            </w:r>
            <w:r>
              <w:rPr>
                <w:rFonts w:eastAsiaTheme="minorEastAsia"/>
                <w:sz w:val="20"/>
              </w:rPr>
              <w:t>Les informations importantes issues des conférences de cas devraient être enregistrées.</w:t>
            </w:r>
            <w:r w:rsidR="00A25D09">
              <w:rPr>
                <w:rFonts w:eastAsiaTheme="minorEastAsia"/>
                <w:sz w:val="20"/>
              </w:rPr>
              <w:t xml:space="preserve"> </w:t>
            </w:r>
          </w:p>
          <w:p w:rsidR="0074642D" w:rsidRDefault="0074642D">
            <w:pPr>
              <w:pStyle w:val="Paragraphedeliste"/>
              <w:spacing w:line="240" w:lineRule="auto"/>
              <w:rPr>
                <w:rFonts w:eastAsiaTheme="minorEastAsia"/>
                <w:sz w:val="20"/>
              </w:rPr>
            </w:pPr>
          </w:p>
          <w:p w:rsidR="0074642D" w:rsidRDefault="004D2618">
            <w:pPr>
              <w:pStyle w:val="Paragraphedeliste"/>
              <w:numPr>
                <w:ilvl w:val="0"/>
                <w:numId w:val="3"/>
              </w:numPr>
              <w:spacing w:line="240" w:lineRule="auto"/>
              <w:rPr>
                <w:rFonts w:eastAsiaTheme="minorEastAsia"/>
                <w:sz w:val="20"/>
              </w:rPr>
            </w:pPr>
            <w:r>
              <w:rPr>
                <w:rFonts w:eastAsiaTheme="minorEastAsia"/>
                <w:sz w:val="20"/>
              </w:rPr>
              <w:t xml:space="preserve">Le risque de partialité est élevé lorsque </w:t>
            </w:r>
            <w:r w:rsidR="0078330F">
              <w:rPr>
                <w:rFonts w:eastAsiaTheme="minorEastAsia"/>
                <w:sz w:val="20"/>
              </w:rPr>
              <w:t xml:space="preserve">les </w:t>
            </w:r>
            <w:r>
              <w:rPr>
                <w:rFonts w:eastAsiaTheme="minorEastAsia"/>
                <w:sz w:val="20"/>
              </w:rPr>
              <w:t xml:space="preserve">évaluations </w:t>
            </w:r>
            <w:r w:rsidR="0078330F">
              <w:rPr>
                <w:rFonts w:eastAsiaTheme="minorEastAsia"/>
                <w:sz w:val="20"/>
              </w:rPr>
              <w:t xml:space="preserve">ex </w:t>
            </w:r>
            <w:r>
              <w:rPr>
                <w:rFonts w:eastAsiaTheme="minorEastAsia"/>
                <w:sz w:val="20"/>
              </w:rPr>
              <w:t>post/</w:t>
            </w:r>
            <w:r w:rsidR="004C4BC1">
              <w:rPr>
                <w:rFonts w:eastAsiaTheme="minorEastAsia"/>
                <w:sz w:val="20"/>
              </w:rPr>
              <w:t>la</w:t>
            </w:r>
            <w:r w:rsidR="0078330F">
              <w:rPr>
                <w:rFonts w:eastAsiaTheme="minorEastAsia"/>
                <w:sz w:val="20"/>
              </w:rPr>
              <w:t xml:space="preserve"> </w:t>
            </w:r>
            <w:r>
              <w:rPr>
                <w:rFonts w:eastAsiaTheme="minorEastAsia"/>
                <w:sz w:val="20"/>
              </w:rPr>
              <w:t>fermeture de</w:t>
            </w:r>
            <w:r w:rsidR="004C4BC1">
              <w:rPr>
                <w:rFonts w:eastAsiaTheme="minorEastAsia"/>
                <w:sz w:val="20"/>
              </w:rPr>
              <w:t>s</w:t>
            </w:r>
            <w:r>
              <w:rPr>
                <w:rFonts w:eastAsiaTheme="minorEastAsia"/>
                <w:sz w:val="20"/>
              </w:rPr>
              <w:t xml:space="preserve"> </w:t>
            </w:r>
            <w:r w:rsidR="0078330F">
              <w:rPr>
                <w:rFonts w:eastAsiaTheme="minorEastAsia"/>
                <w:sz w:val="20"/>
              </w:rPr>
              <w:t xml:space="preserve">dossiers </w:t>
            </w:r>
            <w:r>
              <w:rPr>
                <w:rFonts w:eastAsiaTheme="minorEastAsia"/>
                <w:sz w:val="20"/>
              </w:rPr>
              <w:t>sont effectuées par le personnel chargé de mener l'activité</w:t>
            </w:r>
            <w:r w:rsidR="0078330F">
              <w:rPr>
                <w:rFonts w:eastAsiaTheme="minorEastAsia"/>
                <w:sz w:val="20"/>
              </w:rPr>
              <w:t>. Ils</w:t>
            </w:r>
            <w:r w:rsidR="000872F4">
              <w:rPr>
                <w:rFonts w:eastAsiaTheme="minorEastAsia"/>
                <w:sz w:val="20"/>
              </w:rPr>
              <w:t xml:space="preserve"> </w:t>
            </w:r>
            <w:r w:rsidR="0078330F">
              <w:rPr>
                <w:rFonts w:eastAsiaTheme="minorEastAsia"/>
                <w:sz w:val="20"/>
              </w:rPr>
              <w:t>peuvent</w:t>
            </w:r>
            <w:r>
              <w:rPr>
                <w:rFonts w:eastAsiaTheme="minorEastAsia"/>
                <w:sz w:val="20"/>
              </w:rPr>
              <w:t xml:space="preserve"> être tenté d’évaluer trop positivement la situation des enfants après l’intervention.</w:t>
            </w:r>
          </w:p>
          <w:p w:rsidR="0074642D" w:rsidRDefault="004D2618">
            <w:pPr>
              <w:pStyle w:val="Paragraphedeliste"/>
              <w:numPr>
                <w:ilvl w:val="0"/>
                <w:numId w:val="4"/>
              </w:numPr>
              <w:spacing w:line="240" w:lineRule="auto"/>
              <w:ind w:left="1068"/>
              <w:rPr>
                <w:rFonts w:eastAsiaTheme="minorEastAsia"/>
                <w:sz w:val="20"/>
              </w:rPr>
            </w:pPr>
            <w:r>
              <w:rPr>
                <w:rFonts w:eastAsiaTheme="minorEastAsia"/>
                <w:sz w:val="20"/>
              </w:rPr>
              <w:t xml:space="preserve">Recourir à des méthodes qui sont adaptées </w:t>
            </w:r>
            <w:r w:rsidR="004C4BC1">
              <w:rPr>
                <w:rFonts w:eastAsiaTheme="minorEastAsia"/>
                <w:sz w:val="20"/>
              </w:rPr>
              <w:t>aux</w:t>
            </w:r>
            <w:r>
              <w:rPr>
                <w:rFonts w:eastAsiaTheme="minorEastAsia"/>
                <w:sz w:val="20"/>
              </w:rPr>
              <w:t xml:space="preserve"> enfants et </w:t>
            </w:r>
            <w:r w:rsidR="004C4BC1">
              <w:rPr>
                <w:rFonts w:eastAsiaTheme="minorEastAsia"/>
                <w:sz w:val="20"/>
              </w:rPr>
              <w:t>recouper les</w:t>
            </w:r>
            <w:r>
              <w:rPr>
                <w:rFonts w:eastAsiaTheme="minorEastAsia"/>
                <w:sz w:val="20"/>
              </w:rPr>
              <w:t xml:space="preserve"> données de </w:t>
            </w:r>
            <w:r w:rsidR="004C4BC1">
              <w:rPr>
                <w:rFonts w:eastAsiaTheme="minorEastAsia"/>
                <w:sz w:val="20"/>
              </w:rPr>
              <w:t>suivi</w:t>
            </w:r>
            <w:r>
              <w:rPr>
                <w:rFonts w:eastAsiaTheme="minorEastAsia"/>
                <w:sz w:val="20"/>
              </w:rPr>
              <w:t xml:space="preserve">, </w:t>
            </w:r>
            <w:r w:rsidR="004C4BC1">
              <w:rPr>
                <w:rFonts w:eastAsiaTheme="minorEastAsia"/>
                <w:sz w:val="20"/>
              </w:rPr>
              <w:t xml:space="preserve">en </w:t>
            </w:r>
            <w:r>
              <w:rPr>
                <w:rFonts w:eastAsiaTheme="minorEastAsia"/>
                <w:sz w:val="20"/>
              </w:rPr>
              <w:t xml:space="preserve">impliquant éventuellement d’autres personnels (par exemple, </w:t>
            </w:r>
            <w:r w:rsidR="004C4BC1">
              <w:rPr>
                <w:rFonts w:eastAsiaTheme="minorEastAsia"/>
                <w:sz w:val="20"/>
              </w:rPr>
              <w:t xml:space="preserve">l’équipe </w:t>
            </w:r>
            <w:r>
              <w:rPr>
                <w:rFonts w:eastAsiaTheme="minorEastAsia"/>
                <w:sz w:val="20"/>
              </w:rPr>
              <w:t>M&amp;E pour soutenir la collecte de données).</w:t>
            </w:r>
          </w:p>
          <w:p w:rsidR="0074642D" w:rsidRDefault="004D2618" w:rsidP="00843DE8">
            <w:pPr>
              <w:pStyle w:val="Paragraphedeliste"/>
              <w:numPr>
                <w:ilvl w:val="0"/>
                <w:numId w:val="4"/>
              </w:numPr>
              <w:spacing w:line="240" w:lineRule="auto"/>
              <w:ind w:left="1068"/>
              <w:rPr>
                <w:rFonts w:eastAsiaTheme="minorEastAsia"/>
                <w:sz w:val="20"/>
              </w:rPr>
            </w:pPr>
            <w:r>
              <w:rPr>
                <w:rFonts w:eastAsiaTheme="minorEastAsia"/>
                <w:sz w:val="20"/>
              </w:rPr>
              <w:t xml:space="preserve">Mécanisme de </w:t>
            </w:r>
            <w:r w:rsidR="00332E96">
              <w:rPr>
                <w:rFonts w:eastAsiaTheme="minorEastAsia"/>
                <w:sz w:val="20"/>
              </w:rPr>
              <w:t>supervision</w:t>
            </w:r>
            <w:r>
              <w:rPr>
                <w:rFonts w:eastAsiaTheme="minorEastAsia"/>
                <w:sz w:val="20"/>
              </w:rPr>
              <w:t xml:space="preserve">, examen périodique des </w:t>
            </w:r>
            <w:r w:rsidR="00332E96">
              <w:rPr>
                <w:rFonts w:eastAsiaTheme="minorEastAsia"/>
                <w:sz w:val="20"/>
              </w:rPr>
              <w:t xml:space="preserve">dossiers des </w:t>
            </w:r>
            <w:r>
              <w:rPr>
                <w:rFonts w:eastAsiaTheme="minorEastAsia"/>
                <w:sz w:val="20"/>
              </w:rPr>
              <w:t xml:space="preserve">enfants et éventuellement recoupement par </w:t>
            </w:r>
            <w:r w:rsidR="00332E96">
              <w:rPr>
                <w:rFonts w:eastAsiaTheme="minorEastAsia"/>
                <w:sz w:val="20"/>
              </w:rPr>
              <w:t>des collègues</w:t>
            </w:r>
            <w:r>
              <w:rPr>
                <w:rFonts w:eastAsiaTheme="minorEastAsia"/>
                <w:sz w:val="20"/>
              </w:rPr>
              <w:t xml:space="preserve">. Veiller à ce que les </w:t>
            </w:r>
            <w:r w:rsidR="00843DE8">
              <w:rPr>
                <w:rFonts w:eastAsiaTheme="minorEastAsia"/>
                <w:sz w:val="20"/>
              </w:rPr>
              <w:t>conférences</w:t>
            </w:r>
            <w:r>
              <w:rPr>
                <w:rFonts w:eastAsiaTheme="minorEastAsia"/>
                <w:sz w:val="20"/>
              </w:rPr>
              <w:t xml:space="preserve"> de cas </w:t>
            </w:r>
            <w:bookmarkStart w:id="0" w:name="_GoBack"/>
            <w:bookmarkEnd w:id="0"/>
            <w:r>
              <w:rPr>
                <w:rFonts w:eastAsiaTheme="minorEastAsia"/>
                <w:sz w:val="20"/>
              </w:rPr>
              <w:t>soient organisées et que la vérification de la supervision soit faite.</w:t>
            </w:r>
          </w:p>
        </w:tc>
      </w:tr>
      <w:tr w:rsidR="0074642D">
        <w:trPr>
          <w:trHeight w:val="559"/>
        </w:trPr>
        <w:tc>
          <w:tcPr>
            <w:tcW w:w="2303" w:type="dxa"/>
            <w:shd w:val="clear" w:color="auto" w:fill="DBE5F1" w:themeFill="accent1" w:themeFillTint="33"/>
          </w:tcPr>
          <w:p w:rsidR="0074642D" w:rsidRDefault="004D2618">
            <w:pPr>
              <w:tabs>
                <w:tab w:val="left" w:pos="3960"/>
              </w:tabs>
              <w:spacing w:line="240" w:lineRule="auto"/>
              <w:rPr>
                <w:rFonts w:ascii="Calibri" w:eastAsia="Calibri" w:hAnsi="Calibri" w:cs="Calibri"/>
                <w:b/>
              </w:rPr>
            </w:pPr>
            <w:r>
              <w:rPr>
                <w:rFonts w:ascii="Calibri" w:eastAsia="Calibri" w:hAnsi="Calibri" w:cs="Calibri"/>
                <w:b/>
              </w:rPr>
              <w:t>Plan d’analyse</w:t>
            </w:r>
          </w:p>
          <w:p w:rsidR="0074642D" w:rsidRDefault="0074642D">
            <w:pPr>
              <w:tabs>
                <w:tab w:val="left" w:pos="3960"/>
              </w:tabs>
              <w:spacing w:line="240" w:lineRule="auto"/>
              <w:rPr>
                <w:rFonts w:ascii="Calibri" w:eastAsia="Calibri" w:hAnsi="Calibri" w:cs="Calibri"/>
                <w:b/>
              </w:rPr>
            </w:pPr>
          </w:p>
        </w:tc>
        <w:tc>
          <w:tcPr>
            <w:tcW w:w="6877" w:type="dxa"/>
            <w:shd w:val="clear" w:color="auto" w:fill="FFFFFF" w:themeFill="background1"/>
          </w:tcPr>
          <w:p w:rsidR="0074642D" w:rsidRDefault="004D2618">
            <w:pPr>
              <w:spacing w:line="240" w:lineRule="auto"/>
              <w:rPr>
                <w:rFonts w:eastAsiaTheme="minorEastAsia"/>
                <w:sz w:val="20"/>
              </w:rPr>
            </w:pPr>
            <w:r>
              <w:rPr>
                <w:rFonts w:eastAsiaTheme="minorEastAsia"/>
                <w:sz w:val="20"/>
              </w:rPr>
              <w:lastRenderedPageBreak/>
              <w:t>Comparaison entre sexe</w:t>
            </w:r>
            <w:r w:rsidR="00332E96">
              <w:rPr>
                <w:rFonts w:eastAsiaTheme="minorEastAsia"/>
                <w:sz w:val="20"/>
              </w:rPr>
              <w:t>s</w:t>
            </w:r>
            <w:r>
              <w:rPr>
                <w:rFonts w:eastAsiaTheme="minorEastAsia"/>
                <w:sz w:val="20"/>
              </w:rPr>
              <w:t>, enfants en mouvement ou non</w:t>
            </w:r>
            <w:r w:rsidR="00456B9B">
              <w:rPr>
                <w:rFonts w:eastAsiaTheme="minorEastAsia"/>
                <w:sz w:val="20"/>
              </w:rPr>
              <w:t>,</w:t>
            </w:r>
            <w:r>
              <w:rPr>
                <w:rFonts w:eastAsiaTheme="minorEastAsia"/>
                <w:sz w:val="20"/>
              </w:rPr>
              <w:t xml:space="preserve"> et âge.</w:t>
            </w:r>
            <w:r w:rsidR="00A25D09">
              <w:rPr>
                <w:rFonts w:eastAsiaTheme="minorEastAsia"/>
                <w:sz w:val="20"/>
              </w:rPr>
              <w:t xml:space="preserve"> </w:t>
            </w:r>
            <w:r>
              <w:rPr>
                <w:rFonts w:eastAsiaTheme="minorEastAsia"/>
                <w:sz w:val="20"/>
              </w:rPr>
              <w:t>Longitudinale : tendance mondiale au fil du temps (indicateur non-désagrégé).</w:t>
            </w:r>
          </w:p>
          <w:p w:rsidR="0074642D" w:rsidRDefault="004D2618">
            <w:pPr>
              <w:spacing w:line="240" w:lineRule="auto"/>
              <w:rPr>
                <w:rFonts w:eastAsiaTheme="minorEastAsia"/>
                <w:sz w:val="20"/>
              </w:rPr>
            </w:pPr>
            <w:r>
              <w:rPr>
                <w:rFonts w:eastAsiaTheme="minorEastAsia"/>
                <w:sz w:val="20"/>
              </w:rPr>
              <w:lastRenderedPageBreak/>
              <w:t>Cet indicateur est l’occasion d’approfondir la réflexion sur les questions suivantes dans les rapports semestriels :</w:t>
            </w:r>
          </w:p>
          <w:p w:rsidR="0074642D" w:rsidRDefault="004D2618">
            <w:pPr>
              <w:spacing w:line="240" w:lineRule="auto"/>
              <w:rPr>
                <w:rFonts w:eastAsiaTheme="minorEastAsia"/>
                <w:sz w:val="20"/>
              </w:rPr>
            </w:pPr>
            <w:r>
              <w:rPr>
                <w:rFonts w:eastAsiaTheme="minorEastAsia"/>
                <w:sz w:val="20"/>
              </w:rPr>
              <w:t>Sur le niveau d’intervention (activités) :</w:t>
            </w:r>
          </w:p>
          <w:p w:rsidR="0074642D" w:rsidRDefault="004D2618">
            <w:pPr>
              <w:pStyle w:val="Paragraphedeliste"/>
              <w:numPr>
                <w:ilvl w:val="0"/>
                <w:numId w:val="3"/>
              </w:numPr>
              <w:spacing w:line="240" w:lineRule="auto"/>
              <w:rPr>
                <w:rFonts w:eastAsiaTheme="minorEastAsia"/>
                <w:sz w:val="20"/>
              </w:rPr>
            </w:pPr>
            <w:r>
              <w:rPr>
                <w:rFonts w:eastAsiaTheme="minorEastAsia"/>
                <w:sz w:val="20"/>
              </w:rPr>
              <w:t>Réflexion sur la qualité des activités de Tdh selon l’évolution du contexte (auto-évaluation par l’équipe)</w:t>
            </w:r>
          </w:p>
          <w:p w:rsidR="0074642D" w:rsidRDefault="003A5BD2">
            <w:pPr>
              <w:pStyle w:val="Paragraphedeliste"/>
              <w:numPr>
                <w:ilvl w:val="0"/>
                <w:numId w:val="3"/>
              </w:numPr>
              <w:spacing w:line="240" w:lineRule="auto"/>
              <w:rPr>
                <w:rFonts w:eastAsiaTheme="minorEastAsia"/>
                <w:sz w:val="20"/>
              </w:rPr>
            </w:pPr>
            <w:r>
              <w:rPr>
                <w:rFonts w:eastAsiaTheme="minorEastAsia"/>
                <w:sz w:val="20"/>
              </w:rPr>
              <w:t>D</w:t>
            </w:r>
            <w:r w:rsidR="004D2618">
              <w:rPr>
                <w:rFonts w:eastAsiaTheme="minorEastAsia"/>
                <w:sz w:val="20"/>
              </w:rPr>
              <w:t>urée moyenne, méthodes et orientation des activités, façon dont elles se complètent mutuellement.</w:t>
            </w:r>
          </w:p>
          <w:p w:rsidR="0074642D" w:rsidRDefault="004D2618">
            <w:pPr>
              <w:spacing w:line="240" w:lineRule="auto"/>
              <w:rPr>
                <w:rFonts w:eastAsiaTheme="minorEastAsia"/>
                <w:sz w:val="20"/>
              </w:rPr>
            </w:pPr>
            <w:r>
              <w:rPr>
                <w:rFonts w:eastAsiaTheme="minorEastAsia"/>
                <w:sz w:val="20"/>
              </w:rPr>
              <w:t xml:space="preserve">Sur </w:t>
            </w:r>
            <w:r w:rsidR="003A5BD2">
              <w:rPr>
                <w:rFonts w:eastAsiaTheme="minorEastAsia"/>
                <w:sz w:val="20"/>
              </w:rPr>
              <w:t xml:space="preserve">la </w:t>
            </w:r>
            <w:r>
              <w:rPr>
                <w:rFonts w:eastAsiaTheme="minorEastAsia"/>
                <w:sz w:val="20"/>
              </w:rPr>
              <w:t>trajectoire des enfants :</w:t>
            </w:r>
          </w:p>
          <w:p w:rsidR="0074642D" w:rsidRDefault="004D2618">
            <w:pPr>
              <w:pStyle w:val="Paragraphedeliste"/>
              <w:numPr>
                <w:ilvl w:val="0"/>
                <w:numId w:val="3"/>
              </w:numPr>
              <w:spacing w:line="240" w:lineRule="auto"/>
              <w:rPr>
                <w:rFonts w:eastAsiaTheme="minorEastAsia"/>
                <w:sz w:val="20"/>
              </w:rPr>
            </w:pPr>
            <w:r>
              <w:rPr>
                <w:rFonts w:eastAsiaTheme="minorEastAsia"/>
                <w:sz w:val="20"/>
              </w:rPr>
              <w:t xml:space="preserve">Résurgence : </w:t>
            </w:r>
            <w:r w:rsidR="003A5BD2">
              <w:rPr>
                <w:rFonts w:eastAsiaTheme="minorEastAsia"/>
                <w:sz w:val="20"/>
              </w:rPr>
              <w:t>L</w:t>
            </w:r>
            <w:r>
              <w:rPr>
                <w:rFonts w:eastAsiaTheme="minorEastAsia"/>
                <w:sz w:val="20"/>
              </w:rPr>
              <w:t>es enfants bénéficient</w:t>
            </w:r>
            <w:r w:rsidR="003A5BD2">
              <w:rPr>
                <w:rFonts w:eastAsiaTheme="minorEastAsia"/>
                <w:sz w:val="20"/>
              </w:rPr>
              <w:t>-ils</w:t>
            </w:r>
            <w:r>
              <w:rPr>
                <w:rFonts w:eastAsiaTheme="minorEastAsia"/>
                <w:sz w:val="20"/>
              </w:rPr>
              <w:t xml:space="preserve"> de plus d’un service semblable dans un certain laps de temps</w:t>
            </w:r>
            <w:r w:rsidR="003A5BD2">
              <w:rPr>
                <w:rFonts w:eastAsiaTheme="minorEastAsia"/>
                <w:sz w:val="20"/>
              </w:rPr>
              <w:t> ?</w:t>
            </w:r>
          </w:p>
          <w:p w:rsidR="0074642D" w:rsidRDefault="004D2618">
            <w:pPr>
              <w:pStyle w:val="Paragraphedeliste"/>
              <w:numPr>
                <w:ilvl w:val="0"/>
                <w:numId w:val="3"/>
              </w:numPr>
              <w:spacing w:line="240" w:lineRule="auto"/>
              <w:rPr>
                <w:rFonts w:eastAsiaTheme="minorEastAsia"/>
                <w:sz w:val="20"/>
              </w:rPr>
            </w:pPr>
            <w:r>
              <w:rPr>
                <w:rFonts w:eastAsiaTheme="minorEastAsia"/>
                <w:sz w:val="20"/>
              </w:rPr>
              <w:t xml:space="preserve">Comment </w:t>
            </w:r>
            <w:r w:rsidR="003A5BD2">
              <w:rPr>
                <w:rFonts w:eastAsiaTheme="minorEastAsia"/>
                <w:sz w:val="20"/>
              </w:rPr>
              <w:t>la</w:t>
            </w:r>
            <w:r>
              <w:rPr>
                <w:rFonts w:eastAsiaTheme="minorEastAsia"/>
                <w:sz w:val="20"/>
              </w:rPr>
              <w:t xml:space="preserve"> trajectoire</w:t>
            </w:r>
            <w:r w:rsidR="003A5BD2">
              <w:rPr>
                <w:rFonts w:eastAsiaTheme="minorEastAsia"/>
                <w:sz w:val="20"/>
              </w:rPr>
              <w:t xml:space="preserve"> des enfants </w:t>
            </w:r>
            <w:proofErr w:type="spellStart"/>
            <w:r w:rsidR="003A5BD2">
              <w:rPr>
                <w:rFonts w:eastAsiaTheme="minorEastAsia"/>
                <w:sz w:val="20"/>
              </w:rPr>
              <w:t>écoluent</w:t>
            </w:r>
            <w:proofErr w:type="spellEnd"/>
            <w:r w:rsidR="003A5BD2">
              <w:rPr>
                <w:rFonts w:eastAsiaTheme="minorEastAsia"/>
                <w:sz w:val="20"/>
              </w:rPr>
              <w:t>-elles ?</w:t>
            </w:r>
            <w:r>
              <w:rPr>
                <w:rFonts w:eastAsiaTheme="minorEastAsia"/>
                <w:sz w:val="20"/>
              </w:rPr>
              <w:t xml:space="preserve"> </w:t>
            </w:r>
            <w:r w:rsidR="003A5BD2">
              <w:rPr>
                <w:rFonts w:eastAsiaTheme="minorEastAsia"/>
                <w:sz w:val="20"/>
              </w:rPr>
              <w:t xml:space="preserve">S'ils </w:t>
            </w:r>
            <w:r>
              <w:rPr>
                <w:rFonts w:eastAsiaTheme="minorEastAsia"/>
                <w:sz w:val="20"/>
              </w:rPr>
              <w:t>se désengagent : pourquoi ?</w:t>
            </w:r>
            <w:r w:rsidR="00A25D09">
              <w:rPr>
                <w:rFonts w:eastAsiaTheme="minorEastAsia"/>
                <w:sz w:val="20"/>
              </w:rPr>
              <w:t xml:space="preserve"> </w:t>
            </w:r>
            <w:r>
              <w:rPr>
                <w:rFonts w:eastAsiaTheme="minorEastAsia"/>
                <w:sz w:val="20"/>
              </w:rPr>
              <w:t xml:space="preserve">Les tendances sont-elles radicalement différentes pour les filles et les garçons ? </w:t>
            </w:r>
          </w:p>
          <w:p w:rsidR="0074642D" w:rsidRDefault="004D2618">
            <w:pPr>
              <w:pStyle w:val="Paragraphedeliste"/>
              <w:numPr>
                <w:ilvl w:val="0"/>
                <w:numId w:val="3"/>
              </w:numPr>
              <w:spacing w:line="240" w:lineRule="auto"/>
              <w:rPr>
                <w:rFonts w:eastAsiaTheme="minorEastAsia"/>
                <w:sz w:val="20"/>
              </w:rPr>
            </w:pPr>
            <w:r>
              <w:rPr>
                <w:rFonts w:eastAsiaTheme="minorEastAsia"/>
                <w:sz w:val="20"/>
              </w:rPr>
              <w:t>Si les enfants se déplacent, sont-ils accompagnés ou non ?</w:t>
            </w:r>
          </w:p>
          <w:p w:rsidR="0074642D" w:rsidRDefault="004D2618">
            <w:pPr>
              <w:pStyle w:val="Paragraphedeliste"/>
              <w:numPr>
                <w:ilvl w:val="0"/>
                <w:numId w:val="3"/>
              </w:numPr>
              <w:spacing w:line="240" w:lineRule="auto"/>
              <w:rPr>
                <w:rFonts w:eastAsiaTheme="minorEastAsia"/>
                <w:sz w:val="20"/>
              </w:rPr>
            </w:pPr>
            <w:r>
              <w:rPr>
                <w:rFonts w:eastAsiaTheme="minorEastAsia"/>
                <w:sz w:val="20"/>
              </w:rPr>
              <w:t xml:space="preserve">Si les données sont disponibles et saisies dans le système de suivi des projets : analyse, évolution par type de travail, par secteur (ex. : entreprises informelles, </w:t>
            </w:r>
            <w:r w:rsidR="003A5BD2">
              <w:rPr>
                <w:rFonts w:eastAsiaTheme="minorEastAsia"/>
                <w:sz w:val="20"/>
              </w:rPr>
              <w:t>mines</w:t>
            </w:r>
            <w:r>
              <w:rPr>
                <w:rFonts w:eastAsiaTheme="minorEastAsia"/>
                <w:sz w:val="20"/>
              </w:rPr>
              <w:t xml:space="preserve">, entreprises plus formelles, multinationales), </w:t>
            </w:r>
            <w:r w:rsidR="003A5BD2">
              <w:rPr>
                <w:rFonts w:eastAsiaTheme="minorEastAsia"/>
                <w:sz w:val="20"/>
              </w:rPr>
              <w:t xml:space="preserve">par </w:t>
            </w:r>
            <w:r>
              <w:rPr>
                <w:rFonts w:eastAsiaTheme="minorEastAsia"/>
                <w:sz w:val="20"/>
              </w:rPr>
              <w:t>forme de travail.</w:t>
            </w:r>
            <w:r w:rsidR="00A25D09">
              <w:rPr>
                <w:rFonts w:eastAsiaTheme="minorEastAsia"/>
                <w:sz w:val="20"/>
              </w:rPr>
              <w:t xml:space="preserve"> </w:t>
            </w:r>
            <w:r>
              <w:rPr>
                <w:rFonts w:eastAsiaTheme="minorEastAsia"/>
                <w:sz w:val="20"/>
              </w:rPr>
              <w:t>Les enfants se déplacent-ils d'un secteur ou d’une forme de travail à l’autre ?</w:t>
            </w:r>
            <w:r w:rsidR="00A25D09">
              <w:rPr>
                <w:rFonts w:eastAsiaTheme="minorEastAsia"/>
                <w:sz w:val="20"/>
              </w:rPr>
              <w:t xml:space="preserve"> </w:t>
            </w:r>
          </w:p>
          <w:p w:rsidR="0074642D" w:rsidRDefault="004D2618">
            <w:pPr>
              <w:spacing w:line="240" w:lineRule="auto"/>
              <w:rPr>
                <w:rFonts w:eastAsiaTheme="minorEastAsia"/>
                <w:sz w:val="20"/>
              </w:rPr>
            </w:pPr>
            <w:r>
              <w:rPr>
                <w:rFonts w:eastAsiaTheme="minorEastAsia"/>
                <w:sz w:val="20"/>
              </w:rPr>
              <w:t>Sur les familles et les communautés :</w:t>
            </w:r>
          </w:p>
          <w:p w:rsidR="0074642D" w:rsidRDefault="004D2618">
            <w:pPr>
              <w:pStyle w:val="Paragraphedeliste"/>
              <w:numPr>
                <w:ilvl w:val="0"/>
                <w:numId w:val="3"/>
              </w:numPr>
              <w:spacing w:line="240" w:lineRule="auto"/>
              <w:rPr>
                <w:rFonts w:eastAsiaTheme="minorEastAsia"/>
                <w:sz w:val="20"/>
              </w:rPr>
            </w:pPr>
            <w:r>
              <w:rPr>
                <w:rFonts w:eastAsiaTheme="minorEastAsia"/>
                <w:sz w:val="20"/>
              </w:rPr>
              <w:t>Degré d'implication des familles et des communautés</w:t>
            </w:r>
          </w:p>
          <w:p w:rsidR="0074642D" w:rsidRDefault="004D2618" w:rsidP="0048090D">
            <w:pPr>
              <w:spacing w:line="240" w:lineRule="auto"/>
              <w:rPr>
                <w:rFonts w:eastAsiaTheme="minorEastAsia"/>
                <w:sz w:val="20"/>
              </w:rPr>
            </w:pPr>
            <w:r>
              <w:rPr>
                <w:rFonts w:eastAsiaTheme="minorEastAsia"/>
                <w:sz w:val="20"/>
              </w:rPr>
              <w:t>La principale question devrait toujours être : nos activités de protection sont-elles pertinentes et efficaces pour mener à des changements durables dans la vie des enfants ?</w:t>
            </w:r>
          </w:p>
        </w:tc>
      </w:tr>
      <w:tr w:rsidR="0074642D">
        <w:trPr>
          <w:trHeight w:val="547"/>
        </w:trPr>
        <w:tc>
          <w:tcPr>
            <w:tcW w:w="2303" w:type="dxa"/>
            <w:shd w:val="clear" w:color="auto" w:fill="DBE5F1" w:themeFill="accent1" w:themeFillTint="33"/>
          </w:tcPr>
          <w:p w:rsidR="0074642D" w:rsidRDefault="004D2618">
            <w:pPr>
              <w:tabs>
                <w:tab w:val="left" w:pos="3960"/>
              </w:tabs>
              <w:spacing w:line="240" w:lineRule="auto"/>
              <w:rPr>
                <w:rFonts w:ascii="Calibri" w:eastAsia="Calibri" w:hAnsi="Calibri" w:cs="Calibri"/>
                <w:b/>
              </w:rPr>
            </w:pPr>
            <w:r>
              <w:rPr>
                <w:rFonts w:ascii="Calibri" w:eastAsia="Calibri" w:hAnsi="Calibri" w:cs="Calibri"/>
                <w:b/>
              </w:rPr>
              <w:lastRenderedPageBreak/>
              <w:t>Ressources</w:t>
            </w:r>
          </w:p>
          <w:p w:rsidR="0074642D" w:rsidRDefault="0074642D">
            <w:pPr>
              <w:tabs>
                <w:tab w:val="left" w:pos="3960"/>
              </w:tabs>
              <w:spacing w:line="240" w:lineRule="auto"/>
              <w:rPr>
                <w:rFonts w:ascii="Calibri" w:eastAsia="Calibri" w:hAnsi="Calibri" w:cs="Calibri"/>
                <w:b/>
              </w:rPr>
            </w:pPr>
          </w:p>
        </w:tc>
        <w:tc>
          <w:tcPr>
            <w:tcW w:w="6877" w:type="dxa"/>
            <w:shd w:val="clear" w:color="auto" w:fill="FFFFFF" w:themeFill="background1"/>
          </w:tcPr>
          <w:p w:rsidR="0048090D" w:rsidRDefault="0048090D" w:rsidP="0048090D">
            <w:pPr>
              <w:spacing w:line="240" w:lineRule="auto"/>
              <w:rPr>
                <w:rFonts w:eastAsiaTheme="minorEastAsia"/>
                <w:sz w:val="20"/>
              </w:rPr>
            </w:pPr>
            <w:r>
              <w:rPr>
                <w:rFonts w:eastAsiaTheme="minorEastAsia"/>
                <w:sz w:val="20"/>
              </w:rPr>
              <w:t>Ressources humaines (temps approximatif en fonction du système de suivi-évaluation et du volume d’intervention) :</w:t>
            </w:r>
          </w:p>
          <w:p w:rsidR="0048090D" w:rsidRDefault="0048090D" w:rsidP="0048090D">
            <w:pPr>
              <w:pStyle w:val="Paragraphedeliste"/>
              <w:numPr>
                <w:ilvl w:val="0"/>
                <w:numId w:val="3"/>
              </w:numPr>
              <w:spacing w:line="240" w:lineRule="auto"/>
              <w:rPr>
                <w:rFonts w:eastAsiaTheme="minorEastAsia"/>
                <w:sz w:val="20"/>
              </w:rPr>
            </w:pPr>
            <w:r>
              <w:rPr>
                <w:rFonts w:eastAsiaTheme="minorEastAsia"/>
                <w:sz w:val="20"/>
              </w:rPr>
              <w:t>Coordinateur de projet (2 jours par mois pour la collecte des données et l’analyse de tous les indicateurs du résultat 1)</w:t>
            </w:r>
          </w:p>
          <w:p w:rsidR="0048090D" w:rsidRDefault="0048090D" w:rsidP="0048090D">
            <w:pPr>
              <w:pStyle w:val="Paragraphedeliste"/>
              <w:numPr>
                <w:ilvl w:val="0"/>
                <w:numId w:val="3"/>
              </w:numPr>
              <w:spacing w:line="240" w:lineRule="auto"/>
              <w:rPr>
                <w:rFonts w:eastAsiaTheme="minorEastAsia"/>
                <w:sz w:val="20"/>
              </w:rPr>
            </w:pPr>
            <w:r>
              <w:rPr>
                <w:rFonts w:eastAsiaTheme="minorEastAsia"/>
                <w:sz w:val="20"/>
              </w:rPr>
              <w:t>Lorsqu’ils sont disponibles : Le personnel M&amp;E (suivi-évaluation) (soutien de 2 jours pour la saisie de données et l'analyse préliminaire, la collecte des données et la conception des outils de stockage)</w:t>
            </w:r>
          </w:p>
          <w:p w:rsidR="009C63CC" w:rsidRDefault="0048090D" w:rsidP="006F0B83">
            <w:pPr>
              <w:pStyle w:val="Paragraphedeliste"/>
              <w:numPr>
                <w:ilvl w:val="0"/>
                <w:numId w:val="3"/>
              </w:numPr>
              <w:spacing w:line="240" w:lineRule="auto"/>
              <w:rPr>
                <w:rFonts w:eastAsiaTheme="minorEastAsia"/>
                <w:sz w:val="20"/>
              </w:rPr>
            </w:pPr>
            <w:r>
              <w:rPr>
                <w:rFonts w:eastAsiaTheme="minorEastAsia"/>
                <w:sz w:val="20"/>
              </w:rPr>
              <w:t>Coordinateur régional du programme Exploitation des enfants par le travail (2 jours par mois pour tous les indicateurs du résultat 1)</w:t>
            </w:r>
          </w:p>
          <w:p w:rsidR="0074642D" w:rsidRDefault="0048090D">
            <w:pPr>
              <w:pStyle w:val="Paragraphedeliste"/>
              <w:numPr>
                <w:ilvl w:val="0"/>
                <w:numId w:val="3"/>
              </w:numPr>
              <w:spacing w:line="240" w:lineRule="auto"/>
              <w:rPr>
                <w:rFonts w:eastAsiaTheme="minorEastAsia"/>
                <w:sz w:val="20"/>
              </w:rPr>
            </w:pPr>
            <w:r w:rsidRPr="006F0B83">
              <w:rPr>
                <w:rFonts w:eastAsiaTheme="minorEastAsia"/>
                <w:sz w:val="20"/>
              </w:rPr>
              <w:t>Conseiller du programme Exploitation des enfants par le travail</w:t>
            </w:r>
            <w:r w:rsidRPr="006F0B83" w:rsidDel="00D55E5E">
              <w:rPr>
                <w:rFonts w:eastAsiaTheme="minorEastAsia"/>
                <w:sz w:val="20"/>
              </w:rPr>
              <w:t xml:space="preserve"> </w:t>
            </w:r>
            <w:r w:rsidRPr="006F0B83">
              <w:rPr>
                <w:rFonts w:eastAsiaTheme="minorEastAsia"/>
                <w:sz w:val="20"/>
              </w:rPr>
              <w:t>- Responsable programme (au siège) (pour conseils et commentaires)</w:t>
            </w:r>
          </w:p>
        </w:tc>
      </w:tr>
    </w:tbl>
    <w:p w:rsidR="0074642D" w:rsidRDefault="0074642D">
      <w:pPr>
        <w:spacing w:line="240" w:lineRule="auto"/>
      </w:pPr>
    </w:p>
    <w:sectPr w:rsidR="0074642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49" w:rsidRDefault="00251649">
      <w:pPr>
        <w:spacing w:after="0" w:line="240" w:lineRule="auto"/>
      </w:pPr>
      <w:r>
        <w:separator/>
      </w:r>
    </w:p>
  </w:endnote>
  <w:endnote w:type="continuationSeparator" w:id="0">
    <w:p w:rsidR="00251649" w:rsidRDefault="00251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49" w:rsidRDefault="00251649">
      <w:pPr>
        <w:spacing w:after="0" w:line="240" w:lineRule="auto"/>
      </w:pPr>
      <w:r>
        <w:separator/>
      </w:r>
    </w:p>
  </w:footnote>
  <w:footnote w:type="continuationSeparator" w:id="0">
    <w:p w:rsidR="00251649" w:rsidRDefault="00251649">
      <w:pPr>
        <w:spacing w:after="0" w:line="240" w:lineRule="auto"/>
      </w:pPr>
      <w:r>
        <w:continuationSeparator/>
      </w:r>
    </w:p>
  </w:footnote>
  <w:footnote w:id="1">
    <w:p w:rsidR="00456B9B" w:rsidRDefault="00456B9B" w:rsidP="00A31AA1">
      <w:pPr>
        <w:pStyle w:val="Notedebasdepage"/>
      </w:pPr>
      <w:r>
        <w:rPr>
          <w:rStyle w:val="Appelnotedebasdep"/>
        </w:rPr>
        <w:footnoteRef/>
      </w:r>
      <w:r>
        <w:t xml:space="preserve"> Pour l’évaluation des risques, voir : Delaney, S., (</w:t>
      </w:r>
      <w:proofErr w:type="spellStart"/>
      <w:r>
        <w:t>Re</w:t>
      </w:r>
      <w:proofErr w:type="spellEnd"/>
      <w:r>
        <w:t>) construire l’avenir, TDHFI, 2012, tableau 3 Dimensions de l’évaluation et questions clés</w:t>
      </w:r>
    </w:p>
  </w:footnote>
  <w:footnote w:id="2">
    <w:p w:rsidR="00456B9B" w:rsidRDefault="00456B9B">
      <w:pPr>
        <w:pStyle w:val="Notedebasdepage"/>
      </w:pPr>
      <w:r>
        <w:rPr>
          <w:rStyle w:val="Appelnotedebasdep"/>
        </w:rPr>
        <w:footnoteRef/>
      </w:r>
      <w:r>
        <w:t xml:space="preserve"> https://www.tdh.ch/sites/default/files/argumentaire-contre-l-exploitation-des-enfants-par-le-travail_fr.pdf</w:t>
      </w:r>
    </w:p>
  </w:footnote>
  <w:footnote w:id="3">
    <w:p w:rsidR="00456B9B" w:rsidRDefault="00456B9B">
      <w:pPr>
        <w:pStyle w:val="Notedebasdepage"/>
      </w:pPr>
      <w:r>
        <w:rPr>
          <w:rStyle w:val="Appelnotedebasdep"/>
        </w:rPr>
        <w:footnoteRef/>
      </w:r>
      <w:r>
        <w:t xml:space="preserve"> 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9B" w:rsidRDefault="00456B9B">
    <w:pPr>
      <w:pStyle w:val="En-tte"/>
      <w:jc w:val="right"/>
      <w:rPr>
        <w:i/>
      </w:rPr>
    </w:pPr>
    <w:r>
      <w:rPr>
        <w:i/>
        <w:noProof/>
        <w:lang w:eastAsia="fr-CH"/>
      </w:rPr>
      <w:drawing>
        <wp:anchor distT="0" distB="0" distL="114300" distR="114300" simplePos="0" relativeHeight="251659264" behindDoc="0" locked="0" layoutInCell="1" allowOverlap="1" wp14:anchorId="767E0419" wp14:editId="5B703D66">
          <wp:simplePos x="0" y="0"/>
          <wp:positionH relativeFrom="margin">
            <wp:posOffset>-85725</wp:posOffset>
          </wp:positionH>
          <wp:positionV relativeFrom="margin">
            <wp:posOffset>-534670</wp:posOffset>
          </wp:positionV>
          <wp:extent cx="1604010" cy="2774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4010" cy="277495"/>
                  </a:xfrm>
                  <a:prstGeom prst="rect">
                    <a:avLst/>
                  </a:prstGeom>
                  <a:noFill/>
                </pic:spPr>
              </pic:pic>
            </a:graphicData>
          </a:graphic>
          <wp14:sizeRelH relativeFrom="page">
            <wp14:pctWidth>0</wp14:pctWidth>
          </wp14:sizeRelH>
          <wp14:sizeRelV relativeFrom="page">
            <wp14:pctHeight>0</wp14:pctHeight>
          </wp14:sizeRelV>
        </wp:anchor>
      </w:drawing>
    </w:r>
    <w:r>
      <w:rPr>
        <w:i/>
      </w:rPr>
      <w:t>10/03/2017</w:t>
    </w:r>
  </w:p>
  <w:p w:rsidR="00456B9B" w:rsidRDefault="00456B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BFA"/>
    <w:multiLevelType w:val="hybridMultilevel"/>
    <w:tmpl w:val="B74C7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CF114A"/>
    <w:multiLevelType w:val="hybridMultilevel"/>
    <w:tmpl w:val="31641F02"/>
    <w:lvl w:ilvl="0" w:tplc="A302F330">
      <w:numFmt w:val="bullet"/>
      <w:lvlText w:val=""/>
      <w:lvlJc w:val="left"/>
      <w:pPr>
        <w:ind w:left="643" w:hanging="360"/>
      </w:pPr>
      <w:rPr>
        <w:rFonts w:ascii="Wingdings" w:eastAsiaTheme="minorEastAsia" w:hAnsi="Wingdings"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39AB0F0D"/>
    <w:multiLevelType w:val="hybridMultilevel"/>
    <w:tmpl w:val="EFD0A688"/>
    <w:lvl w:ilvl="0" w:tplc="3BC2E96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607842"/>
    <w:multiLevelType w:val="hybridMultilevel"/>
    <w:tmpl w:val="21704D7E"/>
    <w:lvl w:ilvl="0" w:tplc="84AC605C">
      <w:start w:val="18"/>
      <w:numFmt w:val="bullet"/>
      <w:lvlText w:val="-"/>
      <w:lvlJc w:val="left"/>
      <w:pPr>
        <w:ind w:left="360" w:hanging="360"/>
      </w:pPr>
      <w:rPr>
        <w:rFonts w:ascii="Calibri" w:eastAsiaTheme="minorEastAsia" w:hAnsi="Calibri" w:cstheme="minorBid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nsid w:val="66B320B1"/>
    <w:multiLevelType w:val="hybridMultilevel"/>
    <w:tmpl w:val="2B804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13602"/>
    <w:multiLevelType w:val="hybridMultilevel"/>
    <w:tmpl w:val="4BDA3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E76866"/>
    <w:multiLevelType w:val="multilevel"/>
    <w:tmpl w:val="6024A3E0"/>
    <w:lvl w:ilvl="0">
      <w:start w:val="1"/>
      <w:numFmt w:val="decimal"/>
      <w:pStyle w:val="Subtitle1"/>
      <w:lvlText w:val="%1"/>
      <w:lvlJc w:val="left"/>
      <w:pPr>
        <w:ind w:left="574" w:hanging="432"/>
      </w:pPr>
      <w:rPr>
        <w:rFonts w:hint="default"/>
        <w:sz w:val="22"/>
        <w:szCs w:val="22"/>
      </w:rPr>
    </w:lvl>
    <w:lvl w:ilvl="1">
      <w:start w:val="1"/>
      <w:numFmt w:val="decimal"/>
      <w:lvlText w:val="%1.%2"/>
      <w:lvlJc w:val="left"/>
      <w:pPr>
        <w:ind w:left="576" w:hanging="576"/>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FC"/>
    <w:rsid w:val="00034A15"/>
    <w:rsid w:val="00036AA7"/>
    <w:rsid w:val="000422FC"/>
    <w:rsid w:val="00085227"/>
    <w:rsid w:val="00086C1F"/>
    <w:rsid w:val="000872F4"/>
    <w:rsid w:val="00101FF3"/>
    <w:rsid w:val="00112ACD"/>
    <w:rsid w:val="00136753"/>
    <w:rsid w:val="00137878"/>
    <w:rsid w:val="00162AE0"/>
    <w:rsid w:val="00187B5B"/>
    <w:rsid w:val="001E1CFE"/>
    <w:rsid w:val="001E420F"/>
    <w:rsid w:val="00243B50"/>
    <w:rsid w:val="00247FA0"/>
    <w:rsid w:val="00251649"/>
    <w:rsid w:val="002A0EB1"/>
    <w:rsid w:val="00332E96"/>
    <w:rsid w:val="003A5BD2"/>
    <w:rsid w:val="00417B39"/>
    <w:rsid w:val="00456B9B"/>
    <w:rsid w:val="004641E0"/>
    <w:rsid w:val="0048090D"/>
    <w:rsid w:val="004868E6"/>
    <w:rsid w:val="004C4BC1"/>
    <w:rsid w:val="004D2618"/>
    <w:rsid w:val="004E2CFB"/>
    <w:rsid w:val="00513B02"/>
    <w:rsid w:val="00515DDC"/>
    <w:rsid w:val="00550A04"/>
    <w:rsid w:val="00571A12"/>
    <w:rsid w:val="00576E75"/>
    <w:rsid w:val="005F44D8"/>
    <w:rsid w:val="00625C3E"/>
    <w:rsid w:val="00636919"/>
    <w:rsid w:val="00640EFA"/>
    <w:rsid w:val="00652B0E"/>
    <w:rsid w:val="006617CE"/>
    <w:rsid w:val="006B00B1"/>
    <w:rsid w:val="006F0B83"/>
    <w:rsid w:val="006F4E44"/>
    <w:rsid w:val="0070672C"/>
    <w:rsid w:val="0072417C"/>
    <w:rsid w:val="0074642D"/>
    <w:rsid w:val="007530D8"/>
    <w:rsid w:val="00756A77"/>
    <w:rsid w:val="00757FB6"/>
    <w:rsid w:val="0078330F"/>
    <w:rsid w:val="007C0507"/>
    <w:rsid w:val="007D0D15"/>
    <w:rsid w:val="0080795D"/>
    <w:rsid w:val="00837BEF"/>
    <w:rsid w:val="00843DE8"/>
    <w:rsid w:val="00894E5B"/>
    <w:rsid w:val="008A2207"/>
    <w:rsid w:val="008C112C"/>
    <w:rsid w:val="008F24C9"/>
    <w:rsid w:val="009438E3"/>
    <w:rsid w:val="00975EF5"/>
    <w:rsid w:val="009C63CC"/>
    <w:rsid w:val="00A25D09"/>
    <w:rsid w:val="00A31070"/>
    <w:rsid w:val="00A31AA1"/>
    <w:rsid w:val="00A349F5"/>
    <w:rsid w:val="00A97F2F"/>
    <w:rsid w:val="00AE30D8"/>
    <w:rsid w:val="00AE3665"/>
    <w:rsid w:val="00AF2A21"/>
    <w:rsid w:val="00B00E9B"/>
    <w:rsid w:val="00B02F34"/>
    <w:rsid w:val="00B03D92"/>
    <w:rsid w:val="00B11740"/>
    <w:rsid w:val="00B3517E"/>
    <w:rsid w:val="00B70E9F"/>
    <w:rsid w:val="00BA0FAE"/>
    <w:rsid w:val="00BA3304"/>
    <w:rsid w:val="00BA5847"/>
    <w:rsid w:val="00BC7167"/>
    <w:rsid w:val="00C0201D"/>
    <w:rsid w:val="00C04D97"/>
    <w:rsid w:val="00C21EF2"/>
    <w:rsid w:val="00C25CFF"/>
    <w:rsid w:val="00CA554B"/>
    <w:rsid w:val="00CE3988"/>
    <w:rsid w:val="00D215AC"/>
    <w:rsid w:val="00D36372"/>
    <w:rsid w:val="00D70732"/>
    <w:rsid w:val="00D762E6"/>
    <w:rsid w:val="00D76E1F"/>
    <w:rsid w:val="00D835EE"/>
    <w:rsid w:val="00D968FC"/>
    <w:rsid w:val="00DE2061"/>
    <w:rsid w:val="00DF2437"/>
    <w:rsid w:val="00E15FA2"/>
    <w:rsid w:val="00E160FE"/>
    <w:rsid w:val="00E51D6F"/>
    <w:rsid w:val="00E5379B"/>
    <w:rsid w:val="00EC41FC"/>
    <w:rsid w:val="00F00AE2"/>
    <w:rsid w:val="00F06DA1"/>
    <w:rsid w:val="00F45841"/>
    <w:rsid w:val="00F94144"/>
    <w:rsid w:val="00F975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FC"/>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41FC"/>
    <w:pPr>
      <w:ind w:left="720"/>
      <w:contextualSpacing/>
    </w:pPr>
  </w:style>
  <w:style w:type="paragraph" w:styleId="Notedebasdepage">
    <w:name w:val="footnote text"/>
    <w:basedOn w:val="Normal"/>
    <w:link w:val="NotedebasdepageCar"/>
    <w:uiPriority w:val="99"/>
    <w:semiHidden/>
    <w:unhideWhenUsed/>
    <w:rsid w:val="00EC41FC"/>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EC41FC"/>
    <w:rPr>
      <w:rFonts w:ascii="Calibri" w:eastAsia="Calibri" w:hAnsi="Calibri" w:cs="Times New Roman"/>
      <w:sz w:val="20"/>
      <w:szCs w:val="20"/>
      <w:lang w:val="fr-CH"/>
    </w:rPr>
  </w:style>
  <w:style w:type="character" w:styleId="Appelnotedebasdep">
    <w:name w:val="footnote reference"/>
    <w:basedOn w:val="Policepardfaut"/>
    <w:uiPriority w:val="99"/>
    <w:semiHidden/>
    <w:unhideWhenUsed/>
    <w:rsid w:val="00EC41FC"/>
    <w:rPr>
      <w:vertAlign w:val="superscript"/>
    </w:rPr>
  </w:style>
  <w:style w:type="paragraph" w:styleId="Textedebulles">
    <w:name w:val="Balloon Text"/>
    <w:basedOn w:val="Normal"/>
    <w:link w:val="TextedebullesCar"/>
    <w:uiPriority w:val="99"/>
    <w:semiHidden/>
    <w:unhideWhenUsed/>
    <w:rsid w:val="00A349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9F5"/>
    <w:rPr>
      <w:rFonts w:ascii="Tahoma" w:hAnsi="Tahoma" w:cs="Tahoma"/>
      <w:sz w:val="16"/>
      <w:szCs w:val="16"/>
      <w:lang w:val="fr-CH"/>
    </w:rPr>
  </w:style>
  <w:style w:type="character" w:styleId="Marquedecommentaire">
    <w:name w:val="annotation reference"/>
    <w:basedOn w:val="Policepardfaut"/>
    <w:uiPriority w:val="99"/>
    <w:semiHidden/>
    <w:unhideWhenUsed/>
    <w:rsid w:val="00D762E6"/>
    <w:rPr>
      <w:sz w:val="16"/>
      <w:szCs w:val="16"/>
    </w:rPr>
  </w:style>
  <w:style w:type="paragraph" w:styleId="Commentaire">
    <w:name w:val="annotation text"/>
    <w:basedOn w:val="Normal"/>
    <w:link w:val="CommentaireCar"/>
    <w:uiPriority w:val="99"/>
    <w:semiHidden/>
    <w:unhideWhenUsed/>
    <w:rsid w:val="00D762E6"/>
    <w:pPr>
      <w:spacing w:line="240" w:lineRule="auto"/>
    </w:pPr>
    <w:rPr>
      <w:sz w:val="20"/>
      <w:szCs w:val="20"/>
    </w:rPr>
  </w:style>
  <w:style w:type="character" w:customStyle="1" w:styleId="CommentaireCar">
    <w:name w:val="Commentaire Car"/>
    <w:basedOn w:val="Policepardfaut"/>
    <w:link w:val="Commentaire"/>
    <w:uiPriority w:val="99"/>
    <w:semiHidden/>
    <w:rsid w:val="00D762E6"/>
    <w:rPr>
      <w:sz w:val="20"/>
      <w:szCs w:val="20"/>
      <w:lang w:val="fr-CH"/>
    </w:rPr>
  </w:style>
  <w:style w:type="paragraph" w:styleId="Objetducommentaire">
    <w:name w:val="annotation subject"/>
    <w:basedOn w:val="Commentaire"/>
    <w:next w:val="Commentaire"/>
    <w:link w:val="ObjetducommentaireCar"/>
    <w:uiPriority w:val="99"/>
    <w:semiHidden/>
    <w:unhideWhenUsed/>
    <w:rsid w:val="00D762E6"/>
    <w:rPr>
      <w:b/>
      <w:bCs/>
    </w:rPr>
  </w:style>
  <w:style w:type="character" w:customStyle="1" w:styleId="ObjetducommentaireCar">
    <w:name w:val="Objet du commentaire Car"/>
    <w:basedOn w:val="CommentaireCar"/>
    <w:link w:val="Objetducommentaire"/>
    <w:uiPriority w:val="99"/>
    <w:semiHidden/>
    <w:rsid w:val="00D762E6"/>
    <w:rPr>
      <w:b/>
      <w:bCs/>
      <w:sz w:val="20"/>
      <w:szCs w:val="20"/>
      <w:lang w:val="fr-CH"/>
    </w:rPr>
  </w:style>
  <w:style w:type="paragraph" w:styleId="En-tte">
    <w:name w:val="header"/>
    <w:basedOn w:val="Normal"/>
    <w:link w:val="En-tteCar"/>
    <w:uiPriority w:val="99"/>
    <w:unhideWhenUsed/>
    <w:rsid w:val="00A31070"/>
    <w:pPr>
      <w:tabs>
        <w:tab w:val="center" w:pos="4536"/>
        <w:tab w:val="right" w:pos="9072"/>
      </w:tabs>
      <w:spacing w:after="0" w:line="240" w:lineRule="auto"/>
    </w:pPr>
  </w:style>
  <w:style w:type="character" w:customStyle="1" w:styleId="En-tteCar">
    <w:name w:val="En-tête Car"/>
    <w:basedOn w:val="Policepardfaut"/>
    <w:link w:val="En-tte"/>
    <w:uiPriority w:val="99"/>
    <w:rsid w:val="00A31070"/>
    <w:rPr>
      <w:lang w:val="fr-CH"/>
    </w:rPr>
  </w:style>
  <w:style w:type="paragraph" w:styleId="Pieddepage">
    <w:name w:val="footer"/>
    <w:basedOn w:val="Normal"/>
    <w:link w:val="PieddepageCar"/>
    <w:uiPriority w:val="99"/>
    <w:unhideWhenUsed/>
    <w:rsid w:val="00A310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1070"/>
    <w:rPr>
      <w:lang w:val="fr-CH"/>
    </w:rPr>
  </w:style>
  <w:style w:type="paragraph" w:customStyle="1" w:styleId="Subtitle1">
    <w:name w:val="Subtitle1"/>
    <w:basedOn w:val="Normal"/>
    <w:rsid w:val="004641E0"/>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FC"/>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41FC"/>
    <w:pPr>
      <w:ind w:left="720"/>
      <w:contextualSpacing/>
    </w:pPr>
  </w:style>
  <w:style w:type="paragraph" w:styleId="Notedebasdepage">
    <w:name w:val="footnote text"/>
    <w:basedOn w:val="Normal"/>
    <w:link w:val="NotedebasdepageCar"/>
    <w:uiPriority w:val="99"/>
    <w:semiHidden/>
    <w:unhideWhenUsed/>
    <w:rsid w:val="00EC41FC"/>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EC41FC"/>
    <w:rPr>
      <w:rFonts w:ascii="Calibri" w:eastAsia="Calibri" w:hAnsi="Calibri" w:cs="Times New Roman"/>
      <w:sz w:val="20"/>
      <w:szCs w:val="20"/>
      <w:lang w:val="fr-CH"/>
    </w:rPr>
  </w:style>
  <w:style w:type="character" w:styleId="Appelnotedebasdep">
    <w:name w:val="footnote reference"/>
    <w:basedOn w:val="Policepardfaut"/>
    <w:uiPriority w:val="99"/>
    <w:semiHidden/>
    <w:unhideWhenUsed/>
    <w:rsid w:val="00EC41FC"/>
    <w:rPr>
      <w:vertAlign w:val="superscript"/>
    </w:rPr>
  </w:style>
  <w:style w:type="paragraph" w:styleId="Textedebulles">
    <w:name w:val="Balloon Text"/>
    <w:basedOn w:val="Normal"/>
    <w:link w:val="TextedebullesCar"/>
    <w:uiPriority w:val="99"/>
    <w:semiHidden/>
    <w:unhideWhenUsed/>
    <w:rsid w:val="00A349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9F5"/>
    <w:rPr>
      <w:rFonts w:ascii="Tahoma" w:hAnsi="Tahoma" w:cs="Tahoma"/>
      <w:sz w:val="16"/>
      <w:szCs w:val="16"/>
      <w:lang w:val="fr-CH"/>
    </w:rPr>
  </w:style>
  <w:style w:type="character" w:styleId="Marquedecommentaire">
    <w:name w:val="annotation reference"/>
    <w:basedOn w:val="Policepardfaut"/>
    <w:uiPriority w:val="99"/>
    <w:semiHidden/>
    <w:unhideWhenUsed/>
    <w:rsid w:val="00D762E6"/>
    <w:rPr>
      <w:sz w:val="16"/>
      <w:szCs w:val="16"/>
    </w:rPr>
  </w:style>
  <w:style w:type="paragraph" w:styleId="Commentaire">
    <w:name w:val="annotation text"/>
    <w:basedOn w:val="Normal"/>
    <w:link w:val="CommentaireCar"/>
    <w:uiPriority w:val="99"/>
    <w:semiHidden/>
    <w:unhideWhenUsed/>
    <w:rsid w:val="00D762E6"/>
    <w:pPr>
      <w:spacing w:line="240" w:lineRule="auto"/>
    </w:pPr>
    <w:rPr>
      <w:sz w:val="20"/>
      <w:szCs w:val="20"/>
    </w:rPr>
  </w:style>
  <w:style w:type="character" w:customStyle="1" w:styleId="CommentaireCar">
    <w:name w:val="Commentaire Car"/>
    <w:basedOn w:val="Policepardfaut"/>
    <w:link w:val="Commentaire"/>
    <w:uiPriority w:val="99"/>
    <w:semiHidden/>
    <w:rsid w:val="00D762E6"/>
    <w:rPr>
      <w:sz w:val="20"/>
      <w:szCs w:val="20"/>
      <w:lang w:val="fr-CH"/>
    </w:rPr>
  </w:style>
  <w:style w:type="paragraph" w:styleId="Objetducommentaire">
    <w:name w:val="annotation subject"/>
    <w:basedOn w:val="Commentaire"/>
    <w:next w:val="Commentaire"/>
    <w:link w:val="ObjetducommentaireCar"/>
    <w:uiPriority w:val="99"/>
    <w:semiHidden/>
    <w:unhideWhenUsed/>
    <w:rsid w:val="00D762E6"/>
    <w:rPr>
      <w:b/>
      <w:bCs/>
    </w:rPr>
  </w:style>
  <w:style w:type="character" w:customStyle="1" w:styleId="ObjetducommentaireCar">
    <w:name w:val="Objet du commentaire Car"/>
    <w:basedOn w:val="CommentaireCar"/>
    <w:link w:val="Objetducommentaire"/>
    <w:uiPriority w:val="99"/>
    <w:semiHidden/>
    <w:rsid w:val="00D762E6"/>
    <w:rPr>
      <w:b/>
      <w:bCs/>
      <w:sz w:val="20"/>
      <w:szCs w:val="20"/>
      <w:lang w:val="fr-CH"/>
    </w:rPr>
  </w:style>
  <w:style w:type="paragraph" w:styleId="En-tte">
    <w:name w:val="header"/>
    <w:basedOn w:val="Normal"/>
    <w:link w:val="En-tteCar"/>
    <w:uiPriority w:val="99"/>
    <w:unhideWhenUsed/>
    <w:rsid w:val="00A31070"/>
    <w:pPr>
      <w:tabs>
        <w:tab w:val="center" w:pos="4536"/>
        <w:tab w:val="right" w:pos="9072"/>
      </w:tabs>
      <w:spacing w:after="0" w:line="240" w:lineRule="auto"/>
    </w:pPr>
  </w:style>
  <w:style w:type="character" w:customStyle="1" w:styleId="En-tteCar">
    <w:name w:val="En-tête Car"/>
    <w:basedOn w:val="Policepardfaut"/>
    <w:link w:val="En-tte"/>
    <w:uiPriority w:val="99"/>
    <w:rsid w:val="00A31070"/>
    <w:rPr>
      <w:lang w:val="fr-CH"/>
    </w:rPr>
  </w:style>
  <w:style w:type="paragraph" w:styleId="Pieddepage">
    <w:name w:val="footer"/>
    <w:basedOn w:val="Normal"/>
    <w:link w:val="PieddepageCar"/>
    <w:uiPriority w:val="99"/>
    <w:unhideWhenUsed/>
    <w:rsid w:val="00A310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1070"/>
    <w:rPr>
      <w:lang w:val="fr-CH"/>
    </w:rPr>
  </w:style>
  <w:style w:type="paragraph" w:customStyle="1" w:styleId="Subtitle1">
    <w:name w:val="Subtitle1"/>
    <w:basedOn w:val="Normal"/>
    <w:rsid w:val="004641E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4644">
      <w:bodyDiv w:val="1"/>
      <w:marLeft w:val="0"/>
      <w:marRight w:val="0"/>
      <w:marTop w:val="0"/>
      <w:marBottom w:val="0"/>
      <w:divBdr>
        <w:top w:val="none" w:sz="0" w:space="0" w:color="auto"/>
        <w:left w:val="none" w:sz="0" w:space="0" w:color="auto"/>
        <w:bottom w:val="none" w:sz="0" w:space="0" w:color="auto"/>
        <w:right w:val="none" w:sz="0" w:space="0" w:color="auto"/>
      </w:divBdr>
      <w:divsChild>
        <w:div w:id="833034479">
          <w:marLeft w:val="0"/>
          <w:marRight w:val="0"/>
          <w:marTop w:val="0"/>
          <w:marBottom w:val="0"/>
          <w:divBdr>
            <w:top w:val="none" w:sz="0" w:space="0" w:color="auto"/>
            <w:left w:val="none" w:sz="0" w:space="0" w:color="auto"/>
            <w:bottom w:val="none" w:sz="0" w:space="0" w:color="auto"/>
            <w:right w:val="none" w:sz="0" w:space="0" w:color="auto"/>
          </w:divBdr>
        </w:div>
        <w:div w:id="116530825">
          <w:marLeft w:val="0"/>
          <w:marRight w:val="0"/>
          <w:marTop w:val="0"/>
          <w:marBottom w:val="0"/>
          <w:divBdr>
            <w:top w:val="none" w:sz="0" w:space="0" w:color="auto"/>
            <w:left w:val="none" w:sz="0" w:space="0" w:color="auto"/>
            <w:bottom w:val="none" w:sz="0" w:space="0" w:color="auto"/>
            <w:right w:val="none" w:sz="0" w:space="0" w:color="auto"/>
          </w:divBdr>
        </w:div>
        <w:div w:id="176114275">
          <w:marLeft w:val="0"/>
          <w:marRight w:val="0"/>
          <w:marTop w:val="0"/>
          <w:marBottom w:val="0"/>
          <w:divBdr>
            <w:top w:val="none" w:sz="0" w:space="0" w:color="auto"/>
            <w:left w:val="none" w:sz="0" w:space="0" w:color="auto"/>
            <w:bottom w:val="none" w:sz="0" w:space="0" w:color="auto"/>
            <w:right w:val="none" w:sz="0" w:space="0" w:color="auto"/>
          </w:divBdr>
        </w:div>
        <w:div w:id="1506626147">
          <w:marLeft w:val="0"/>
          <w:marRight w:val="0"/>
          <w:marTop w:val="0"/>
          <w:marBottom w:val="0"/>
          <w:divBdr>
            <w:top w:val="none" w:sz="0" w:space="0" w:color="auto"/>
            <w:left w:val="none" w:sz="0" w:space="0" w:color="auto"/>
            <w:bottom w:val="none" w:sz="0" w:space="0" w:color="auto"/>
            <w:right w:val="none" w:sz="0" w:space="0" w:color="auto"/>
          </w:divBdr>
        </w:div>
        <w:div w:id="1415517696">
          <w:marLeft w:val="0"/>
          <w:marRight w:val="0"/>
          <w:marTop w:val="0"/>
          <w:marBottom w:val="0"/>
          <w:divBdr>
            <w:top w:val="none" w:sz="0" w:space="0" w:color="auto"/>
            <w:left w:val="none" w:sz="0" w:space="0" w:color="auto"/>
            <w:bottom w:val="none" w:sz="0" w:space="0" w:color="auto"/>
            <w:right w:val="none" w:sz="0" w:space="0" w:color="auto"/>
          </w:divBdr>
        </w:div>
        <w:div w:id="300155647">
          <w:marLeft w:val="0"/>
          <w:marRight w:val="0"/>
          <w:marTop w:val="0"/>
          <w:marBottom w:val="0"/>
          <w:divBdr>
            <w:top w:val="none" w:sz="0" w:space="0" w:color="auto"/>
            <w:left w:val="none" w:sz="0" w:space="0" w:color="auto"/>
            <w:bottom w:val="none" w:sz="0" w:space="0" w:color="auto"/>
            <w:right w:val="none" w:sz="0" w:space="0" w:color="auto"/>
          </w:divBdr>
        </w:div>
        <w:div w:id="1788238708">
          <w:marLeft w:val="0"/>
          <w:marRight w:val="0"/>
          <w:marTop w:val="0"/>
          <w:marBottom w:val="0"/>
          <w:divBdr>
            <w:top w:val="none" w:sz="0" w:space="0" w:color="auto"/>
            <w:left w:val="none" w:sz="0" w:space="0" w:color="auto"/>
            <w:bottom w:val="none" w:sz="0" w:space="0" w:color="auto"/>
            <w:right w:val="none" w:sz="0" w:space="0" w:color="auto"/>
          </w:divBdr>
        </w:div>
        <w:div w:id="134952430">
          <w:marLeft w:val="0"/>
          <w:marRight w:val="0"/>
          <w:marTop w:val="0"/>
          <w:marBottom w:val="0"/>
          <w:divBdr>
            <w:top w:val="none" w:sz="0" w:space="0" w:color="auto"/>
            <w:left w:val="none" w:sz="0" w:space="0" w:color="auto"/>
            <w:bottom w:val="none" w:sz="0" w:space="0" w:color="auto"/>
            <w:right w:val="none" w:sz="0" w:space="0" w:color="auto"/>
          </w:divBdr>
        </w:div>
        <w:div w:id="2041277915">
          <w:marLeft w:val="0"/>
          <w:marRight w:val="0"/>
          <w:marTop w:val="0"/>
          <w:marBottom w:val="0"/>
          <w:divBdr>
            <w:top w:val="none" w:sz="0" w:space="0" w:color="auto"/>
            <w:left w:val="none" w:sz="0" w:space="0" w:color="auto"/>
            <w:bottom w:val="none" w:sz="0" w:space="0" w:color="auto"/>
            <w:right w:val="none" w:sz="0" w:space="0" w:color="auto"/>
          </w:divBdr>
        </w:div>
        <w:div w:id="277683386">
          <w:marLeft w:val="0"/>
          <w:marRight w:val="0"/>
          <w:marTop w:val="0"/>
          <w:marBottom w:val="0"/>
          <w:divBdr>
            <w:top w:val="none" w:sz="0" w:space="0" w:color="auto"/>
            <w:left w:val="none" w:sz="0" w:space="0" w:color="auto"/>
            <w:bottom w:val="none" w:sz="0" w:space="0" w:color="auto"/>
            <w:right w:val="none" w:sz="0" w:space="0" w:color="auto"/>
          </w:divBdr>
        </w:div>
        <w:div w:id="236131948">
          <w:marLeft w:val="0"/>
          <w:marRight w:val="0"/>
          <w:marTop w:val="0"/>
          <w:marBottom w:val="0"/>
          <w:divBdr>
            <w:top w:val="none" w:sz="0" w:space="0" w:color="auto"/>
            <w:left w:val="none" w:sz="0" w:space="0" w:color="auto"/>
            <w:bottom w:val="none" w:sz="0" w:space="0" w:color="auto"/>
            <w:right w:val="none" w:sz="0" w:space="0" w:color="auto"/>
          </w:divBdr>
        </w:div>
        <w:div w:id="782531881">
          <w:marLeft w:val="0"/>
          <w:marRight w:val="0"/>
          <w:marTop w:val="0"/>
          <w:marBottom w:val="0"/>
          <w:divBdr>
            <w:top w:val="none" w:sz="0" w:space="0" w:color="auto"/>
            <w:left w:val="none" w:sz="0" w:space="0" w:color="auto"/>
            <w:bottom w:val="none" w:sz="0" w:space="0" w:color="auto"/>
            <w:right w:val="none" w:sz="0" w:space="0" w:color="auto"/>
          </w:divBdr>
        </w:div>
        <w:div w:id="1036589496">
          <w:marLeft w:val="0"/>
          <w:marRight w:val="0"/>
          <w:marTop w:val="0"/>
          <w:marBottom w:val="0"/>
          <w:divBdr>
            <w:top w:val="none" w:sz="0" w:space="0" w:color="auto"/>
            <w:left w:val="none" w:sz="0" w:space="0" w:color="auto"/>
            <w:bottom w:val="none" w:sz="0" w:space="0" w:color="auto"/>
            <w:right w:val="none" w:sz="0" w:space="0" w:color="auto"/>
          </w:divBdr>
        </w:div>
        <w:div w:id="861479943">
          <w:marLeft w:val="0"/>
          <w:marRight w:val="0"/>
          <w:marTop w:val="0"/>
          <w:marBottom w:val="0"/>
          <w:divBdr>
            <w:top w:val="none" w:sz="0" w:space="0" w:color="auto"/>
            <w:left w:val="none" w:sz="0" w:space="0" w:color="auto"/>
            <w:bottom w:val="none" w:sz="0" w:space="0" w:color="auto"/>
            <w:right w:val="none" w:sz="0" w:space="0" w:color="auto"/>
          </w:divBdr>
        </w:div>
        <w:div w:id="1151406713">
          <w:marLeft w:val="0"/>
          <w:marRight w:val="0"/>
          <w:marTop w:val="0"/>
          <w:marBottom w:val="0"/>
          <w:divBdr>
            <w:top w:val="none" w:sz="0" w:space="0" w:color="auto"/>
            <w:left w:val="none" w:sz="0" w:space="0" w:color="auto"/>
            <w:bottom w:val="none" w:sz="0" w:space="0" w:color="auto"/>
            <w:right w:val="none" w:sz="0" w:space="0" w:color="auto"/>
          </w:divBdr>
        </w:div>
        <w:div w:id="991174481">
          <w:marLeft w:val="0"/>
          <w:marRight w:val="0"/>
          <w:marTop w:val="0"/>
          <w:marBottom w:val="0"/>
          <w:divBdr>
            <w:top w:val="none" w:sz="0" w:space="0" w:color="auto"/>
            <w:left w:val="none" w:sz="0" w:space="0" w:color="auto"/>
            <w:bottom w:val="none" w:sz="0" w:space="0" w:color="auto"/>
            <w:right w:val="none" w:sz="0" w:space="0" w:color="auto"/>
          </w:divBdr>
        </w:div>
        <w:div w:id="1810397422">
          <w:marLeft w:val="0"/>
          <w:marRight w:val="0"/>
          <w:marTop w:val="0"/>
          <w:marBottom w:val="0"/>
          <w:divBdr>
            <w:top w:val="none" w:sz="0" w:space="0" w:color="auto"/>
            <w:left w:val="none" w:sz="0" w:space="0" w:color="auto"/>
            <w:bottom w:val="none" w:sz="0" w:space="0" w:color="auto"/>
            <w:right w:val="none" w:sz="0" w:space="0" w:color="auto"/>
          </w:divBdr>
        </w:div>
        <w:div w:id="1760365403">
          <w:marLeft w:val="0"/>
          <w:marRight w:val="0"/>
          <w:marTop w:val="0"/>
          <w:marBottom w:val="0"/>
          <w:divBdr>
            <w:top w:val="none" w:sz="0" w:space="0" w:color="auto"/>
            <w:left w:val="none" w:sz="0" w:space="0" w:color="auto"/>
            <w:bottom w:val="none" w:sz="0" w:space="0" w:color="auto"/>
            <w:right w:val="none" w:sz="0" w:space="0" w:color="auto"/>
          </w:divBdr>
        </w:div>
        <w:div w:id="784496387">
          <w:marLeft w:val="0"/>
          <w:marRight w:val="0"/>
          <w:marTop w:val="0"/>
          <w:marBottom w:val="0"/>
          <w:divBdr>
            <w:top w:val="none" w:sz="0" w:space="0" w:color="auto"/>
            <w:left w:val="none" w:sz="0" w:space="0" w:color="auto"/>
            <w:bottom w:val="none" w:sz="0" w:space="0" w:color="auto"/>
            <w:right w:val="none" w:sz="0" w:space="0" w:color="auto"/>
          </w:divBdr>
        </w:div>
        <w:div w:id="1335186526">
          <w:marLeft w:val="0"/>
          <w:marRight w:val="0"/>
          <w:marTop w:val="0"/>
          <w:marBottom w:val="0"/>
          <w:divBdr>
            <w:top w:val="none" w:sz="0" w:space="0" w:color="auto"/>
            <w:left w:val="none" w:sz="0" w:space="0" w:color="auto"/>
            <w:bottom w:val="none" w:sz="0" w:space="0" w:color="auto"/>
            <w:right w:val="none" w:sz="0" w:space="0" w:color="auto"/>
          </w:divBdr>
        </w:div>
        <w:div w:id="933439073">
          <w:marLeft w:val="0"/>
          <w:marRight w:val="0"/>
          <w:marTop w:val="0"/>
          <w:marBottom w:val="0"/>
          <w:divBdr>
            <w:top w:val="none" w:sz="0" w:space="0" w:color="auto"/>
            <w:left w:val="none" w:sz="0" w:space="0" w:color="auto"/>
            <w:bottom w:val="none" w:sz="0" w:space="0" w:color="auto"/>
            <w:right w:val="none" w:sz="0" w:space="0" w:color="auto"/>
          </w:divBdr>
        </w:div>
        <w:div w:id="1683817950">
          <w:marLeft w:val="0"/>
          <w:marRight w:val="0"/>
          <w:marTop w:val="0"/>
          <w:marBottom w:val="0"/>
          <w:divBdr>
            <w:top w:val="none" w:sz="0" w:space="0" w:color="auto"/>
            <w:left w:val="none" w:sz="0" w:space="0" w:color="auto"/>
            <w:bottom w:val="none" w:sz="0" w:space="0" w:color="auto"/>
            <w:right w:val="none" w:sz="0" w:space="0" w:color="auto"/>
          </w:divBdr>
        </w:div>
        <w:div w:id="434179567">
          <w:marLeft w:val="0"/>
          <w:marRight w:val="0"/>
          <w:marTop w:val="0"/>
          <w:marBottom w:val="0"/>
          <w:divBdr>
            <w:top w:val="none" w:sz="0" w:space="0" w:color="auto"/>
            <w:left w:val="none" w:sz="0" w:space="0" w:color="auto"/>
            <w:bottom w:val="none" w:sz="0" w:space="0" w:color="auto"/>
            <w:right w:val="none" w:sz="0" w:space="0" w:color="auto"/>
          </w:divBdr>
        </w:div>
      </w:divsChild>
    </w:div>
    <w:div w:id="1868330476">
      <w:bodyDiv w:val="1"/>
      <w:marLeft w:val="0"/>
      <w:marRight w:val="0"/>
      <w:marTop w:val="0"/>
      <w:marBottom w:val="0"/>
      <w:divBdr>
        <w:top w:val="none" w:sz="0" w:space="0" w:color="auto"/>
        <w:left w:val="none" w:sz="0" w:space="0" w:color="auto"/>
        <w:bottom w:val="none" w:sz="0" w:space="0" w:color="auto"/>
        <w:right w:val="none" w:sz="0" w:space="0" w:color="auto"/>
      </w:divBdr>
      <w:divsChild>
        <w:div w:id="59405970">
          <w:marLeft w:val="0"/>
          <w:marRight w:val="0"/>
          <w:marTop w:val="0"/>
          <w:marBottom w:val="0"/>
          <w:divBdr>
            <w:top w:val="none" w:sz="0" w:space="0" w:color="auto"/>
            <w:left w:val="none" w:sz="0" w:space="0" w:color="auto"/>
            <w:bottom w:val="none" w:sz="0" w:space="0" w:color="auto"/>
            <w:right w:val="none" w:sz="0" w:space="0" w:color="auto"/>
          </w:divBdr>
        </w:div>
        <w:div w:id="1880625992">
          <w:marLeft w:val="0"/>
          <w:marRight w:val="0"/>
          <w:marTop w:val="0"/>
          <w:marBottom w:val="0"/>
          <w:divBdr>
            <w:top w:val="none" w:sz="0" w:space="0" w:color="auto"/>
            <w:left w:val="none" w:sz="0" w:space="0" w:color="auto"/>
            <w:bottom w:val="none" w:sz="0" w:space="0" w:color="auto"/>
            <w:right w:val="none" w:sz="0" w:space="0" w:color="auto"/>
          </w:divBdr>
        </w:div>
        <w:div w:id="1247374571">
          <w:marLeft w:val="0"/>
          <w:marRight w:val="0"/>
          <w:marTop w:val="0"/>
          <w:marBottom w:val="0"/>
          <w:divBdr>
            <w:top w:val="none" w:sz="0" w:space="0" w:color="auto"/>
            <w:left w:val="none" w:sz="0" w:space="0" w:color="auto"/>
            <w:bottom w:val="none" w:sz="0" w:space="0" w:color="auto"/>
            <w:right w:val="none" w:sz="0" w:space="0" w:color="auto"/>
          </w:divBdr>
        </w:div>
        <w:div w:id="748888791">
          <w:marLeft w:val="0"/>
          <w:marRight w:val="0"/>
          <w:marTop w:val="0"/>
          <w:marBottom w:val="0"/>
          <w:divBdr>
            <w:top w:val="none" w:sz="0" w:space="0" w:color="auto"/>
            <w:left w:val="none" w:sz="0" w:space="0" w:color="auto"/>
            <w:bottom w:val="none" w:sz="0" w:space="0" w:color="auto"/>
            <w:right w:val="none" w:sz="0" w:space="0" w:color="auto"/>
          </w:divBdr>
        </w:div>
        <w:div w:id="862982081">
          <w:marLeft w:val="0"/>
          <w:marRight w:val="0"/>
          <w:marTop w:val="0"/>
          <w:marBottom w:val="0"/>
          <w:divBdr>
            <w:top w:val="none" w:sz="0" w:space="0" w:color="auto"/>
            <w:left w:val="none" w:sz="0" w:space="0" w:color="auto"/>
            <w:bottom w:val="none" w:sz="0" w:space="0" w:color="auto"/>
            <w:right w:val="none" w:sz="0" w:space="0" w:color="auto"/>
          </w:divBdr>
        </w:div>
        <w:div w:id="1516727503">
          <w:marLeft w:val="0"/>
          <w:marRight w:val="0"/>
          <w:marTop w:val="0"/>
          <w:marBottom w:val="0"/>
          <w:divBdr>
            <w:top w:val="none" w:sz="0" w:space="0" w:color="auto"/>
            <w:left w:val="none" w:sz="0" w:space="0" w:color="auto"/>
            <w:bottom w:val="none" w:sz="0" w:space="0" w:color="auto"/>
            <w:right w:val="none" w:sz="0" w:space="0" w:color="auto"/>
          </w:divBdr>
        </w:div>
        <w:div w:id="1471050872">
          <w:marLeft w:val="0"/>
          <w:marRight w:val="0"/>
          <w:marTop w:val="0"/>
          <w:marBottom w:val="0"/>
          <w:divBdr>
            <w:top w:val="none" w:sz="0" w:space="0" w:color="auto"/>
            <w:left w:val="none" w:sz="0" w:space="0" w:color="auto"/>
            <w:bottom w:val="none" w:sz="0" w:space="0" w:color="auto"/>
            <w:right w:val="none" w:sz="0" w:space="0" w:color="auto"/>
          </w:divBdr>
        </w:div>
        <w:div w:id="1118375807">
          <w:marLeft w:val="0"/>
          <w:marRight w:val="0"/>
          <w:marTop w:val="0"/>
          <w:marBottom w:val="0"/>
          <w:divBdr>
            <w:top w:val="none" w:sz="0" w:space="0" w:color="auto"/>
            <w:left w:val="none" w:sz="0" w:space="0" w:color="auto"/>
            <w:bottom w:val="none" w:sz="0" w:space="0" w:color="auto"/>
            <w:right w:val="none" w:sz="0" w:space="0" w:color="auto"/>
          </w:divBdr>
        </w:div>
        <w:div w:id="204372476">
          <w:marLeft w:val="0"/>
          <w:marRight w:val="0"/>
          <w:marTop w:val="0"/>
          <w:marBottom w:val="0"/>
          <w:divBdr>
            <w:top w:val="none" w:sz="0" w:space="0" w:color="auto"/>
            <w:left w:val="none" w:sz="0" w:space="0" w:color="auto"/>
            <w:bottom w:val="none" w:sz="0" w:space="0" w:color="auto"/>
            <w:right w:val="none" w:sz="0" w:space="0" w:color="auto"/>
          </w:divBdr>
        </w:div>
        <w:div w:id="1645814164">
          <w:marLeft w:val="0"/>
          <w:marRight w:val="0"/>
          <w:marTop w:val="0"/>
          <w:marBottom w:val="0"/>
          <w:divBdr>
            <w:top w:val="none" w:sz="0" w:space="0" w:color="auto"/>
            <w:left w:val="none" w:sz="0" w:space="0" w:color="auto"/>
            <w:bottom w:val="none" w:sz="0" w:space="0" w:color="auto"/>
            <w:right w:val="none" w:sz="0" w:space="0" w:color="auto"/>
          </w:divBdr>
        </w:div>
        <w:div w:id="880826915">
          <w:marLeft w:val="0"/>
          <w:marRight w:val="0"/>
          <w:marTop w:val="0"/>
          <w:marBottom w:val="0"/>
          <w:divBdr>
            <w:top w:val="none" w:sz="0" w:space="0" w:color="auto"/>
            <w:left w:val="none" w:sz="0" w:space="0" w:color="auto"/>
            <w:bottom w:val="none" w:sz="0" w:space="0" w:color="auto"/>
            <w:right w:val="none" w:sz="0" w:space="0" w:color="auto"/>
          </w:divBdr>
        </w:div>
        <w:div w:id="563609767">
          <w:marLeft w:val="0"/>
          <w:marRight w:val="0"/>
          <w:marTop w:val="0"/>
          <w:marBottom w:val="0"/>
          <w:divBdr>
            <w:top w:val="none" w:sz="0" w:space="0" w:color="auto"/>
            <w:left w:val="none" w:sz="0" w:space="0" w:color="auto"/>
            <w:bottom w:val="none" w:sz="0" w:space="0" w:color="auto"/>
            <w:right w:val="none" w:sz="0" w:space="0" w:color="auto"/>
          </w:divBdr>
        </w:div>
        <w:div w:id="323820437">
          <w:marLeft w:val="0"/>
          <w:marRight w:val="0"/>
          <w:marTop w:val="0"/>
          <w:marBottom w:val="0"/>
          <w:divBdr>
            <w:top w:val="none" w:sz="0" w:space="0" w:color="auto"/>
            <w:left w:val="none" w:sz="0" w:space="0" w:color="auto"/>
            <w:bottom w:val="none" w:sz="0" w:space="0" w:color="auto"/>
            <w:right w:val="none" w:sz="0" w:space="0" w:color="auto"/>
          </w:divBdr>
        </w:div>
        <w:div w:id="841507489">
          <w:marLeft w:val="0"/>
          <w:marRight w:val="0"/>
          <w:marTop w:val="0"/>
          <w:marBottom w:val="0"/>
          <w:divBdr>
            <w:top w:val="none" w:sz="0" w:space="0" w:color="auto"/>
            <w:left w:val="none" w:sz="0" w:space="0" w:color="auto"/>
            <w:bottom w:val="none" w:sz="0" w:space="0" w:color="auto"/>
            <w:right w:val="none" w:sz="0" w:space="0" w:color="auto"/>
          </w:divBdr>
        </w:div>
        <w:div w:id="1446078439">
          <w:marLeft w:val="0"/>
          <w:marRight w:val="0"/>
          <w:marTop w:val="0"/>
          <w:marBottom w:val="0"/>
          <w:divBdr>
            <w:top w:val="none" w:sz="0" w:space="0" w:color="auto"/>
            <w:left w:val="none" w:sz="0" w:space="0" w:color="auto"/>
            <w:bottom w:val="none" w:sz="0" w:space="0" w:color="auto"/>
            <w:right w:val="none" w:sz="0" w:space="0" w:color="auto"/>
          </w:divBdr>
        </w:div>
        <w:div w:id="817259241">
          <w:marLeft w:val="0"/>
          <w:marRight w:val="0"/>
          <w:marTop w:val="0"/>
          <w:marBottom w:val="0"/>
          <w:divBdr>
            <w:top w:val="none" w:sz="0" w:space="0" w:color="auto"/>
            <w:left w:val="none" w:sz="0" w:space="0" w:color="auto"/>
            <w:bottom w:val="none" w:sz="0" w:space="0" w:color="auto"/>
            <w:right w:val="none" w:sz="0" w:space="0" w:color="auto"/>
          </w:divBdr>
        </w:div>
        <w:div w:id="929387424">
          <w:marLeft w:val="0"/>
          <w:marRight w:val="0"/>
          <w:marTop w:val="0"/>
          <w:marBottom w:val="0"/>
          <w:divBdr>
            <w:top w:val="none" w:sz="0" w:space="0" w:color="auto"/>
            <w:left w:val="none" w:sz="0" w:space="0" w:color="auto"/>
            <w:bottom w:val="none" w:sz="0" w:space="0" w:color="auto"/>
            <w:right w:val="none" w:sz="0" w:space="0" w:color="auto"/>
          </w:divBdr>
        </w:div>
        <w:div w:id="1356955600">
          <w:marLeft w:val="0"/>
          <w:marRight w:val="0"/>
          <w:marTop w:val="0"/>
          <w:marBottom w:val="0"/>
          <w:divBdr>
            <w:top w:val="none" w:sz="0" w:space="0" w:color="auto"/>
            <w:left w:val="none" w:sz="0" w:space="0" w:color="auto"/>
            <w:bottom w:val="none" w:sz="0" w:space="0" w:color="auto"/>
            <w:right w:val="none" w:sz="0" w:space="0" w:color="auto"/>
          </w:divBdr>
        </w:div>
        <w:div w:id="1792361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5912A-20D7-4E39-8F5E-0D563C83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1647</Words>
  <Characters>9063</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TDH</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Herrmann</dc:creator>
  <cp:lastModifiedBy>Anne Vennegues</cp:lastModifiedBy>
  <cp:revision>51</cp:revision>
  <dcterms:created xsi:type="dcterms:W3CDTF">2017-05-05T12:13:00Z</dcterms:created>
  <dcterms:modified xsi:type="dcterms:W3CDTF">2017-10-10T07:38:00Z</dcterms:modified>
</cp:coreProperties>
</file>