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86" w:rsidRPr="00AE6434" w:rsidRDefault="00121586">
      <w:pPr>
        <w:jc w:val="center"/>
        <w:rPr>
          <w:b/>
          <w:color w:val="17365D" w:themeColor="text2" w:themeShade="BF"/>
          <w:sz w:val="32"/>
          <w:lang w:val="en-GB"/>
        </w:rPr>
      </w:pPr>
    </w:p>
    <w:p w:rsidR="00121586" w:rsidRPr="00AE6434" w:rsidRDefault="00AE6434">
      <w:pPr>
        <w:jc w:val="center"/>
        <w:rPr>
          <w:rFonts w:ascii="Calibri" w:eastAsia="Calibri" w:hAnsi="Calibri" w:cs="Times New Roman"/>
          <w:b/>
          <w:color w:val="17365D" w:themeColor="text2" w:themeShade="BF"/>
          <w:sz w:val="24"/>
          <w:lang w:val="en-GB"/>
        </w:rPr>
      </w:pPr>
      <w:proofErr w:type="spellStart"/>
      <w:r w:rsidRPr="00AE6434">
        <w:rPr>
          <w:rFonts w:ascii="Calibri" w:eastAsia="Calibri" w:hAnsi="Calibri" w:cs="Times New Roman"/>
          <w:b/>
          <w:color w:val="17365D" w:themeColor="text2" w:themeShade="BF"/>
          <w:sz w:val="24"/>
          <w:lang w:val="en-GB"/>
        </w:rPr>
        <w:t>Tdh</w:t>
      </w:r>
      <w:proofErr w:type="spellEnd"/>
      <w:r w:rsidRPr="00AE6434">
        <w:rPr>
          <w:rFonts w:ascii="Calibri" w:eastAsia="Calibri" w:hAnsi="Calibri" w:cs="Times New Roman"/>
          <w:b/>
          <w:color w:val="17365D" w:themeColor="text2" w:themeShade="BF"/>
          <w:sz w:val="24"/>
          <w:lang w:val="en-GB"/>
        </w:rPr>
        <w:t xml:space="preserve"> Contribution Program 2017-2020 / Strategic Plan 2016-2020</w:t>
      </w:r>
    </w:p>
    <w:p w:rsidR="00121586" w:rsidRPr="00AE6434" w:rsidRDefault="00AE6434">
      <w:pPr>
        <w:jc w:val="center"/>
        <w:rPr>
          <w:rFonts w:ascii="Calibri" w:eastAsia="Calibri" w:hAnsi="Calibri" w:cs="Times New Roman"/>
          <w:b/>
          <w:color w:val="17365D" w:themeColor="text2" w:themeShade="BF"/>
          <w:sz w:val="32"/>
          <w:lang w:val="en-GB"/>
        </w:rPr>
      </w:pPr>
      <w:r w:rsidRPr="00AE6434">
        <w:rPr>
          <w:rFonts w:ascii="Calibri" w:eastAsia="Calibri" w:hAnsi="Calibri" w:cs="Times New Roman"/>
          <w:b/>
          <w:color w:val="17365D" w:themeColor="text2" w:themeShade="BF"/>
          <w:sz w:val="24"/>
          <w:lang w:val="en-GB"/>
        </w:rPr>
        <w:t>Program Indicators</w:t>
      </w:r>
    </w:p>
    <w:p w:rsidR="00121586" w:rsidRPr="00AE6434" w:rsidRDefault="00AE6434">
      <w:pPr>
        <w:rPr>
          <w:b/>
          <w:sz w:val="20"/>
          <w:lang w:val="en-GB"/>
        </w:rPr>
      </w:pPr>
      <w:r w:rsidRPr="00AE6434">
        <w:rPr>
          <w:b/>
          <w:sz w:val="20"/>
          <w:lang w:val="en-GB"/>
        </w:rPr>
        <w:t>[Program]</w:t>
      </w:r>
      <w:r w:rsidRPr="00AE6434">
        <w:rPr>
          <w:sz w:val="20"/>
          <w:lang w:val="en-GB"/>
        </w:rPr>
        <w:t>Juvenile Justice</w:t>
      </w:r>
    </w:p>
    <w:p w:rsidR="00121586" w:rsidRPr="00AE6434" w:rsidRDefault="00AE6434">
      <w:pPr>
        <w:jc w:val="both"/>
        <w:rPr>
          <w:rFonts w:ascii="Calibri" w:hAnsi="Calibri" w:cs="Arial"/>
          <w:sz w:val="20"/>
          <w:lang w:val="en-GB"/>
        </w:rPr>
      </w:pPr>
      <w:r w:rsidRPr="00AE6434">
        <w:rPr>
          <w:rFonts w:ascii="Calibri" w:hAnsi="Calibri" w:cs="Arial"/>
          <w:b/>
          <w:sz w:val="20"/>
          <w:lang w:val="en-GB"/>
        </w:rPr>
        <w:t xml:space="preserve">[Result] RA 1.1 </w:t>
      </w:r>
      <w:r w:rsidRPr="00AE6434">
        <w:rPr>
          <w:rFonts w:ascii="Calibri" w:hAnsi="Calibri" w:cs="Arial"/>
          <w:sz w:val="20"/>
          <w:lang w:val="en-GB"/>
        </w:rPr>
        <w:t>The JJ program sets up projects that meet the specific needs of 20 countries or country units in impact regions in Latin America</w:t>
      </w:r>
      <w:r w:rsidRPr="00AE6434">
        <w:rPr>
          <w:rFonts w:ascii="Calibri" w:hAnsi="Calibri" w:cs="Arial"/>
          <w:sz w:val="20"/>
          <w:lang w:val="en-GB"/>
        </w:rPr>
        <w:footnoteReference w:id="1"/>
      </w:r>
      <w:r w:rsidRPr="00AE6434">
        <w:rPr>
          <w:rFonts w:ascii="Calibri" w:hAnsi="Calibri" w:cs="Arial"/>
          <w:sz w:val="20"/>
          <w:lang w:val="en-GB"/>
        </w:rPr>
        <w:t>, Africa</w:t>
      </w:r>
      <w:r w:rsidRPr="00AE6434">
        <w:rPr>
          <w:rFonts w:ascii="Calibri" w:hAnsi="Calibri" w:cs="Arial"/>
          <w:sz w:val="20"/>
          <w:lang w:val="en-GB"/>
        </w:rPr>
        <w:footnoteReference w:id="2"/>
      </w:r>
      <w:r w:rsidR="00BF75B1">
        <w:rPr>
          <w:rFonts w:ascii="Calibri" w:hAnsi="Calibri" w:cs="Arial"/>
          <w:sz w:val="20"/>
          <w:lang w:val="en-GB"/>
        </w:rPr>
        <w:t xml:space="preserve"> and Middle East North Africa</w:t>
      </w:r>
      <w:r w:rsidRPr="00AE6434">
        <w:rPr>
          <w:rFonts w:ascii="Calibri" w:hAnsi="Calibri" w:cs="Arial"/>
          <w:sz w:val="20"/>
          <w:lang w:val="en-GB"/>
        </w:rPr>
        <w:footnoteReference w:id="3"/>
      </w:r>
      <w:r w:rsidRPr="00AE6434">
        <w:rPr>
          <w:rFonts w:ascii="Calibri" w:hAnsi="Calibri" w:cs="Arial"/>
          <w:sz w:val="20"/>
          <w:lang w:val="en-GB"/>
        </w:rPr>
        <w:t xml:space="preserve"> and in Asia projects related to the following outcome objectives </w:t>
      </w:r>
    </w:p>
    <w:p w:rsidR="00121586" w:rsidRPr="00AE6434" w:rsidRDefault="00AE6434">
      <w:pPr>
        <w:jc w:val="both"/>
        <w:rPr>
          <w:rFonts w:ascii="Calibri" w:hAnsi="Calibri" w:cs="Arial"/>
          <w:sz w:val="20"/>
          <w:lang w:val="en-GB"/>
        </w:rPr>
      </w:pPr>
      <w:r w:rsidRPr="00AE6434">
        <w:rPr>
          <w:rFonts w:ascii="Calibri" w:hAnsi="Calibri" w:cs="Arial"/>
          <w:sz w:val="20"/>
          <w:lang w:val="en-GB"/>
        </w:rPr>
        <w:t>Intermediate Result RA 1.1.2.  Improving children's access to justice systems, in particular by strengthening the complementarity between formal and informal justice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877"/>
      </w:tblGrid>
      <w:tr w:rsidR="00121586" w:rsidRPr="003746D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21586" w:rsidRPr="00AE6434" w:rsidRDefault="00AE6434">
            <w:pPr>
              <w:tabs>
                <w:tab w:val="left" w:pos="3960"/>
              </w:tabs>
              <w:spacing w:after="120" w:line="240" w:lineRule="auto"/>
              <w:rPr>
                <w:rFonts w:ascii="Calibri" w:eastAsia="Calibri" w:hAnsi="Calibri" w:cs="Calibri"/>
                <w:b/>
                <w:sz w:val="20"/>
                <w:lang w:val="en-GB"/>
              </w:rPr>
            </w:pPr>
            <w:r w:rsidRPr="00AE6434">
              <w:rPr>
                <w:rFonts w:ascii="Calibri" w:eastAsia="Calibri" w:hAnsi="Calibri" w:cs="Calibri"/>
                <w:b/>
                <w:sz w:val="20"/>
                <w:lang w:val="en-GB"/>
              </w:rPr>
              <w:t xml:space="preserve">Indicator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1586" w:rsidRPr="00AE6434" w:rsidRDefault="00AE6434">
            <w:pPr>
              <w:spacing w:after="0"/>
              <w:rPr>
                <w:iCs/>
                <w:sz w:val="20"/>
                <w:lang w:val="en-GB"/>
              </w:rPr>
            </w:pPr>
            <w:r w:rsidRPr="00AE6434">
              <w:rPr>
                <w:iCs/>
                <w:sz w:val="20"/>
                <w:lang w:val="en-GB"/>
              </w:rPr>
              <w:t>Number and percentage of cases of children in contact with customary justice systems in which formal justice actors are involved, per year and in the samples of the intervention areas of the project "Shifting the paradigm of access to justice for children"</w:t>
            </w:r>
          </w:p>
          <w:p w:rsidR="00121586" w:rsidRPr="00AE6434" w:rsidRDefault="00121586">
            <w:pPr>
              <w:spacing w:after="0"/>
              <w:rPr>
                <w:iCs/>
                <w:sz w:val="20"/>
                <w:lang w:val="en-GB"/>
              </w:rPr>
            </w:pPr>
          </w:p>
          <w:p w:rsidR="00121586" w:rsidRPr="00AE6434" w:rsidRDefault="00AE6434">
            <w:pPr>
              <w:spacing w:after="0"/>
              <w:rPr>
                <w:iCs/>
                <w:sz w:val="20"/>
                <w:lang w:val="en-GB"/>
              </w:rPr>
            </w:pPr>
            <w:r w:rsidRPr="00AE6434">
              <w:rPr>
                <w:iCs/>
                <w:sz w:val="20"/>
                <w:lang w:val="en-GB"/>
              </w:rPr>
              <w:t>"Coordination of formal and informal justice actors"</w:t>
            </w:r>
          </w:p>
          <w:p w:rsidR="00121586" w:rsidRPr="00AE6434" w:rsidRDefault="00121586">
            <w:pPr>
              <w:spacing w:after="0"/>
              <w:rPr>
                <w:iCs/>
                <w:sz w:val="20"/>
                <w:lang w:val="en-GB"/>
              </w:rPr>
            </w:pPr>
          </w:p>
        </w:tc>
      </w:tr>
      <w:tr w:rsidR="00121586" w:rsidRPr="003746D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21586" w:rsidRPr="00AE6434" w:rsidRDefault="00AE6434">
            <w:pPr>
              <w:tabs>
                <w:tab w:val="left" w:pos="3960"/>
              </w:tabs>
              <w:spacing w:after="120" w:line="240" w:lineRule="auto"/>
              <w:rPr>
                <w:rFonts w:ascii="Calibri" w:eastAsia="Calibri" w:hAnsi="Calibri" w:cs="Calibri"/>
                <w:b/>
                <w:sz w:val="20"/>
                <w:lang w:val="en-GB"/>
              </w:rPr>
            </w:pPr>
            <w:r w:rsidRPr="00AE6434">
              <w:rPr>
                <w:rFonts w:ascii="Calibri" w:eastAsia="Calibri" w:hAnsi="Calibri" w:cs="Calibri"/>
                <w:b/>
                <w:sz w:val="20"/>
                <w:lang w:val="en-GB"/>
              </w:rPr>
              <w:t>Definition</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1586" w:rsidRPr="00AE6434" w:rsidRDefault="00AE6434">
            <w:pPr>
              <w:spacing w:after="0"/>
              <w:rPr>
                <w:iCs/>
                <w:sz w:val="20"/>
                <w:lang w:val="en-GB"/>
              </w:rPr>
            </w:pPr>
            <w:r w:rsidRPr="00AE6434">
              <w:rPr>
                <w:iCs/>
                <w:sz w:val="20"/>
                <w:lang w:val="en-GB"/>
              </w:rPr>
              <w:t xml:space="preserve">"Children" = individuals who have not reached the age of 18. </w:t>
            </w:r>
          </w:p>
          <w:p w:rsidR="00121586" w:rsidRPr="00AE6434" w:rsidRDefault="00121586">
            <w:pPr>
              <w:spacing w:after="0"/>
              <w:rPr>
                <w:iCs/>
                <w:sz w:val="20"/>
                <w:lang w:val="en-GB"/>
              </w:rPr>
            </w:pPr>
          </w:p>
          <w:p w:rsidR="00121586" w:rsidRPr="00AE6434" w:rsidRDefault="00AE6434">
            <w:pPr>
              <w:spacing w:after="0"/>
              <w:rPr>
                <w:iCs/>
                <w:sz w:val="20"/>
                <w:lang w:val="en-GB"/>
              </w:rPr>
            </w:pPr>
            <w:r w:rsidRPr="00AE6434">
              <w:rPr>
                <w:iCs/>
                <w:sz w:val="20"/>
                <w:lang w:val="en-GB"/>
              </w:rPr>
              <w:t xml:space="preserve">"In contact with": having been involved in a dispute or conflict process as a perpetrator, victim or witness. In this context, this phrase also refers to children involved directly or indirectly in civil conflicts, for example related to family law (inheritance, marriage, divorce, custody of children, etc.).  </w:t>
            </w:r>
          </w:p>
          <w:p w:rsidR="00121586" w:rsidRPr="00AE6434" w:rsidRDefault="00121586">
            <w:pPr>
              <w:spacing w:after="0"/>
              <w:rPr>
                <w:iCs/>
                <w:sz w:val="20"/>
                <w:lang w:val="en-GB"/>
              </w:rPr>
            </w:pPr>
          </w:p>
          <w:p w:rsidR="00121586" w:rsidRPr="00AE6434" w:rsidRDefault="00AE6434">
            <w:pPr>
              <w:spacing w:after="0"/>
              <w:rPr>
                <w:sz w:val="20"/>
                <w:lang w:val="en-GB"/>
              </w:rPr>
            </w:pPr>
            <w:r w:rsidRPr="00AE6434">
              <w:rPr>
                <w:iCs/>
                <w:sz w:val="20"/>
                <w:lang w:val="en-GB"/>
              </w:rPr>
              <w:t xml:space="preserve">"Systems of customary justice": </w:t>
            </w:r>
            <w:r w:rsidRPr="00AE6434">
              <w:rPr>
                <w:lang w:val="en-GB"/>
              </w:rPr>
              <w:t xml:space="preserve"> </w:t>
            </w:r>
            <w:r w:rsidRPr="00AE6434">
              <w:rPr>
                <w:sz w:val="20"/>
                <w:lang w:val="en-GB"/>
              </w:rPr>
              <w:t xml:space="preserve">The actors and processes of justice based on custom, defined as "legal oral use, consecrated by time and accepted by the population of a given territory" (Le Grand Robert, Le Robert Dictionaries, 1994) </w:t>
            </w:r>
            <w:proofErr w:type="spellStart"/>
            <w:r w:rsidRPr="00AE6434">
              <w:rPr>
                <w:sz w:val="20"/>
                <w:lang w:val="en-GB"/>
              </w:rPr>
              <w:t>Coutume</w:t>
            </w:r>
            <w:proofErr w:type="spellEnd"/>
            <w:r w:rsidRPr="00AE6434">
              <w:rPr>
                <w:sz w:val="20"/>
                <w:lang w:val="en-GB"/>
              </w:rPr>
              <w:t xml:space="preserve">, p.5201.) The custom is one of the sources of law (P. </w:t>
            </w:r>
            <w:proofErr w:type="spellStart"/>
            <w:r w:rsidRPr="00AE6434">
              <w:rPr>
                <w:sz w:val="20"/>
                <w:lang w:val="en-GB"/>
              </w:rPr>
              <w:t>Jestaz</w:t>
            </w:r>
            <w:proofErr w:type="spellEnd"/>
            <w:r w:rsidRPr="00AE6434">
              <w:rPr>
                <w:sz w:val="20"/>
                <w:lang w:val="en-GB"/>
              </w:rPr>
              <w:t xml:space="preserve">, </w:t>
            </w:r>
            <w:r w:rsidR="00BF75B1">
              <w:rPr>
                <w:i/>
                <w:sz w:val="20"/>
                <w:lang w:val="en-GB"/>
              </w:rPr>
              <w:t>The sources of L</w:t>
            </w:r>
            <w:r w:rsidRPr="00AE6434">
              <w:rPr>
                <w:i/>
                <w:sz w:val="20"/>
                <w:lang w:val="en-GB"/>
              </w:rPr>
              <w:t>aw</w:t>
            </w:r>
            <w:r w:rsidRPr="00AE6434">
              <w:rPr>
                <w:sz w:val="20"/>
                <w:lang w:val="en-GB"/>
              </w:rPr>
              <w:t xml:space="preserve">, 2005, </w:t>
            </w:r>
            <w:proofErr w:type="spellStart"/>
            <w:r w:rsidRPr="00AE6434">
              <w:rPr>
                <w:sz w:val="20"/>
                <w:lang w:val="en-GB"/>
              </w:rPr>
              <w:t>Dalloz</w:t>
            </w:r>
            <w:proofErr w:type="spellEnd"/>
            <w:r w:rsidRPr="00AE6434">
              <w:rPr>
                <w:sz w:val="20"/>
                <w:lang w:val="en-GB"/>
              </w:rPr>
              <w:t>). In many countries in Africa, Latin America and the Middle East, a part of customs have been codified and thus constitute part of the formal law, however, there are other customary principles that have not been codified, and which remain informal</w:t>
            </w:r>
            <w:r w:rsidRPr="00AE6434">
              <w:rPr>
                <w:sz w:val="20"/>
                <w:lang w:val="en-GB"/>
              </w:rPr>
              <w:footnoteReference w:id="4"/>
            </w:r>
            <w:r w:rsidRPr="00AE6434">
              <w:rPr>
                <w:sz w:val="20"/>
                <w:lang w:val="en-GB"/>
              </w:rPr>
              <w:t>.</w:t>
            </w:r>
          </w:p>
          <w:p w:rsidR="00121586" w:rsidRPr="00AE6434" w:rsidRDefault="00121586">
            <w:pPr>
              <w:spacing w:after="0"/>
              <w:rPr>
                <w:sz w:val="20"/>
                <w:lang w:val="en-GB"/>
              </w:rPr>
            </w:pPr>
          </w:p>
          <w:p w:rsidR="00121586" w:rsidRPr="00AE6434" w:rsidRDefault="00AE6434">
            <w:pPr>
              <w:spacing w:after="0"/>
              <w:rPr>
                <w:iCs/>
                <w:sz w:val="20"/>
                <w:lang w:val="en-GB"/>
              </w:rPr>
            </w:pPr>
            <w:r w:rsidRPr="00AE6434">
              <w:rPr>
                <w:sz w:val="20"/>
                <w:lang w:val="en-GB"/>
              </w:rPr>
              <w:t xml:space="preserve">"Formal justice actors": state justice actors at all levels, including police, probation officers, official mediators, attorneys, judges in the criminal or civil courts, and prison actors who are involved in the criminal justice system. </w:t>
            </w:r>
          </w:p>
          <w:p w:rsidR="00121586" w:rsidRPr="00AE6434" w:rsidRDefault="00121586">
            <w:pPr>
              <w:spacing w:after="0"/>
              <w:rPr>
                <w:i/>
                <w:sz w:val="20"/>
                <w:lang w:val="en-GB"/>
              </w:rPr>
            </w:pPr>
          </w:p>
        </w:tc>
      </w:tr>
      <w:tr w:rsidR="00121586" w:rsidRPr="003746D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21586" w:rsidRPr="00AE6434" w:rsidRDefault="00AE6434">
            <w:pPr>
              <w:tabs>
                <w:tab w:val="left" w:pos="3960"/>
              </w:tabs>
              <w:spacing w:after="120" w:line="240" w:lineRule="auto"/>
              <w:rPr>
                <w:rFonts w:ascii="Calibri" w:eastAsia="Calibri" w:hAnsi="Calibri" w:cs="Calibri"/>
                <w:b/>
                <w:sz w:val="20"/>
                <w:lang w:val="en-GB"/>
              </w:rPr>
            </w:pPr>
            <w:r w:rsidRPr="00AE6434">
              <w:rPr>
                <w:rFonts w:ascii="Calibri" w:eastAsia="Calibri" w:hAnsi="Calibri" w:cs="Calibri"/>
                <w:b/>
                <w:sz w:val="20"/>
                <w:lang w:val="en-GB"/>
              </w:rPr>
              <w:t xml:space="preserve">What it measures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1586" w:rsidRPr="00AE6434" w:rsidRDefault="00AE6434">
            <w:pPr>
              <w:spacing w:after="0"/>
              <w:rPr>
                <w:iCs/>
                <w:sz w:val="20"/>
                <w:lang w:val="en-GB"/>
              </w:rPr>
            </w:pPr>
            <w:r w:rsidRPr="00AE6434">
              <w:rPr>
                <w:iCs/>
                <w:sz w:val="20"/>
                <w:lang w:val="en-GB"/>
              </w:rPr>
              <w:t xml:space="preserve">This indicator measures the level of coordination between actors in customary </w:t>
            </w:r>
            <w:r w:rsidRPr="00AE6434">
              <w:rPr>
                <w:iCs/>
                <w:sz w:val="20"/>
                <w:lang w:val="en-GB"/>
              </w:rPr>
              <w:lastRenderedPageBreak/>
              <w:t xml:space="preserve">justice and formal justice actors in situations affecting children. This indicator is based on quantitative data collection focused on the activity of traditional leaders, which represents a new and unique data field compared to existing data on juvenile justice. By considering the number of cases of children handled by customary actors in which formal actors are involved, we can better understand the degree of coordination between the two systems. </w:t>
            </w:r>
          </w:p>
          <w:p w:rsidR="00121586" w:rsidRPr="00AE6434" w:rsidRDefault="00121586">
            <w:pPr>
              <w:spacing w:after="0"/>
              <w:rPr>
                <w:iCs/>
                <w:sz w:val="20"/>
                <w:lang w:val="en-GB"/>
              </w:rPr>
            </w:pPr>
          </w:p>
          <w:p w:rsidR="00121586" w:rsidRPr="00AE6434" w:rsidRDefault="00AE6434">
            <w:pPr>
              <w:spacing w:after="0"/>
              <w:rPr>
                <w:iCs/>
                <w:sz w:val="20"/>
                <w:lang w:val="en-GB"/>
              </w:rPr>
            </w:pPr>
            <w:r w:rsidRPr="00AE6434">
              <w:rPr>
                <w:iCs/>
                <w:sz w:val="20"/>
                <w:lang w:val="en-GB"/>
              </w:rPr>
              <w:t>Limits: As the entry point for this indicator is customary activity and no formal justice activity, this indicator only gives a partial vision of all the cases in coordination (to specify, it's because these cases are not registered that we do not have access to all cases). Furthermore, the amount and quality of coordination does not necessarily guarantee a greater respect for the rights of the child in customary justice systems. It is therefore imperative to be attentive to these violations (discrimination, serious violations) and raise them in qualitative analysis.</w:t>
            </w:r>
          </w:p>
          <w:p w:rsidR="00121586" w:rsidRPr="00AE6434" w:rsidRDefault="00121586">
            <w:pPr>
              <w:spacing w:after="0"/>
              <w:rPr>
                <w:iCs/>
                <w:sz w:val="20"/>
                <w:lang w:val="en-GB"/>
              </w:rPr>
            </w:pPr>
          </w:p>
        </w:tc>
      </w:tr>
      <w:tr w:rsidR="00121586" w:rsidRPr="003746D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21586" w:rsidRPr="00AE6434" w:rsidRDefault="00AE6434">
            <w:pPr>
              <w:tabs>
                <w:tab w:val="left" w:pos="3960"/>
              </w:tabs>
              <w:spacing w:after="120" w:line="240" w:lineRule="auto"/>
              <w:rPr>
                <w:rFonts w:ascii="Calibri" w:eastAsia="Calibri" w:hAnsi="Calibri" w:cs="Calibri"/>
                <w:b/>
                <w:sz w:val="20"/>
                <w:lang w:val="en-GB"/>
              </w:rPr>
            </w:pPr>
            <w:r w:rsidRPr="00AE6434">
              <w:rPr>
                <w:rFonts w:ascii="Calibri" w:eastAsia="Calibri" w:hAnsi="Calibri" w:cs="Calibri"/>
                <w:b/>
                <w:sz w:val="20"/>
                <w:lang w:val="en-GB"/>
              </w:rPr>
              <w:lastRenderedPageBreak/>
              <w:t xml:space="preserve">Unity and </w:t>
            </w:r>
            <w:r w:rsidR="001A4732">
              <w:rPr>
                <w:rFonts w:ascii="Calibri" w:eastAsia="Calibri" w:hAnsi="Calibri" w:cs="Calibri"/>
                <w:b/>
                <w:sz w:val="20"/>
                <w:lang w:val="en-GB"/>
              </w:rPr>
              <w:t xml:space="preserve">disaggregation </w:t>
            </w:r>
            <w:r w:rsidRPr="00AE6434">
              <w:rPr>
                <w:rFonts w:ascii="Calibri" w:eastAsia="Calibri" w:hAnsi="Calibri" w:cs="Calibri"/>
                <w:b/>
                <w:sz w:val="20"/>
                <w:lang w:val="en-GB"/>
              </w:rPr>
              <w:t xml:space="preserv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1586" w:rsidRPr="00AE6434" w:rsidRDefault="00AE6434">
            <w:pPr>
              <w:spacing w:after="0"/>
              <w:rPr>
                <w:iCs/>
                <w:sz w:val="20"/>
                <w:lang w:val="en-GB"/>
              </w:rPr>
            </w:pPr>
            <w:r w:rsidRPr="00AE6434">
              <w:rPr>
                <w:iCs/>
                <w:sz w:val="20"/>
                <w:lang w:val="en-GB"/>
              </w:rPr>
              <w:t xml:space="preserve">Number of cases. </w:t>
            </w:r>
          </w:p>
          <w:p w:rsidR="00121586" w:rsidRPr="00AE6434" w:rsidRDefault="00AE6434">
            <w:pPr>
              <w:spacing w:after="0"/>
              <w:rPr>
                <w:iCs/>
                <w:sz w:val="20"/>
                <w:lang w:val="en-GB"/>
              </w:rPr>
            </w:pPr>
            <w:r w:rsidRPr="00AE6434">
              <w:rPr>
                <w:iCs/>
                <w:sz w:val="20"/>
                <w:lang w:val="en-GB"/>
              </w:rPr>
              <w:t xml:space="preserve">Breakdown by </w:t>
            </w:r>
          </w:p>
          <w:p w:rsidR="00121586" w:rsidRPr="00AE6434" w:rsidRDefault="00AE6434">
            <w:pPr>
              <w:pStyle w:val="Paragraphedeliste"/>
              <w:numPr>
                <w:ilvl w:val="0"/>
                <w:numId w:val="9"/>
              </w:numPr>
              <w:spacing w:after="0"/>
              <w:rPr>
                <w:iCs/>
                <w:sz w:val="20"/>
                <w:lang w:val="en-GB"/>
              </w:rPr>
            </w:pPr>
            <w:r w:rsidRPr="00AE6434">
              <w:rPr>
                <w:iCs/>
                <w:sz w:val="20"/>
                <w:lang w:val="en-GB"/>
              </w:rPr>
              <w:t>Girls / boys</w:t>
            </w:r>
          </w:p>
          <w:p w:rsidR="00121586" w:rsidRPr="00AE6434" w:rsidRDefault="00AE6434">
            <w:pPr>
              <w:pStyle w:val="Paragraphedeliste"/>
              <w:numPr>
                <w:ilvl w:val="0"/>
                <w:numId w:val="9"/>
              </w:numPr>
              <w:spacing w:after="0"/>
              <w:rPr>
                <w:i/>
                <w:sz w:val="20"/>
                <w:lang w:val="en-GB"/>
              </w:rPr>
            </w:pPr>
            <w:r w:rsidRPr="00AE6434">
              <w:rPr>
                <w:iCs/>
                <w:sz w:val="20"/>
                <w:lang w:val="en-GB"/>
              </w:rPr>
              <w:t xml:space="preserve">Age category of the child (to be specified), </w:t>
            </w:r>
          </w:p>
          <w:p w:rsidR="00121586" w:rsidRPr="00AE6434" w:rsidRDefault="00AE6434">
            <w:pPr>
              <w:pStyle w:val="Paragraphedeliste"/>
              <w:numPr>
                <w:ilvl w:val="0"/>
                <w:numId w:val="9"/>
              </w:numPr>
              <w:spacing w:after="0"/>
              <w:rPr>
                <w:i/>
                <w:sz w:val="20"/>
                <w:lang w:val="en-GB"/>
              </w:rPr>
            </w:pPr>
            <w:r w:rsidRPr="00AE6434">
              <w:rPr>
                <w:iCs/>
                <w:sz w:val="20"/>
                <w:lang w:val="en-GB"/>
              </w:rPr>
              <w:t xml:space="preserve">Type of dispute </w:t>
            </w:r>
          </w:p>
          <w:p w:rsidR="00121586" w:rsidRPr="00AE6434" w:rsidRDefault="00AE6434">
            <w:pPr>
              <w:pStyle w:val="Paragraphedeliste"/>
              <w:numPr>
                <w:ilvl w:val="0"/>
                <w:numId w:val="9"/>
              </w:numPr>
              <w:spacing w:after="0"/>
              <w:rPr>
                <w:i/>
                <w:sz w:val="20"/>
                <w:lang w:val="en-GB"/>
              </w:rPr>
            </w:pPr>
            <w:r w:rsidRPr="00AE6434">
              <w:rPr>
                <w:iCs/>
                <w:sz w:val="20"/>
                <w:lang w:val="en-GB"/>
              </w:rPr>
              <w:t>Role of the child (perpetrator, victim, witness)</w:t>
            </w:r>
          </w:p>
        </w:tc>
      </w:tr>
      <w:tr w:rsidR="00121586" w:rsidRPr="003746D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21586" w:rsidRPr="00AE6434" w:rsidRDefault="00AE6434">
            <w:pPr>
              <w:tabs>
                <w:tab w:val="left" w:pos="3960"/>
              </w:tabs>
              <w:spacing w:after="120" w:line="240" w:lineRule="auto"/>
              <w:rPr>
                <w:rFonts w:ascii="Calibri" w:eastAsia="Calibri" w:hAnsi="Calibri" w:cs="Calibri"/>
                <w:b/>
                <w:sz w:val="20"/>
                <w:lang w:val="en-GB"/>
              </w:rPr>
            </w:pPr>
            <w:r w:rsidRPr="00AE6434">
              <w:rPr>
                <w:rFonts w:ascii="Calibri" w:eastAsia="Calibri" w:hAnsi="Calibri" w:cs="Calibri"/>
                <w:b/>
                <w:sz w:val="20"/>
                <w:lang w:val="en-GB"/>
              </w:rPr>
              <w:t>Calculation mode</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1586" w:rsidRPr="00AE6434" w:rsidRDefault="00AE6434">
            <w:pPr>
              <w:spacing w:after="0"/>
              <w:rPr>
                <w:iCs/>
                <w:sz w:val="20"/>
                <w:lang w:val="en-GB"/>
              </w:rPr>
            </w:pPr>
            <w:r w:rsidRPr="00AE6434">
              <w:rPr>
                <w:iCs/>
                <w:sz w:val="20"/>
                <w:lang w:val="en-GB"/>
              </w:rPr>
              <w:t xml:space="preserve">This indicator is primarily based on the totality of cases handled by a group of customary actors involved in </w:t>
            </w:r>
            <w:proofErr w:type="spellStart"/>
            <w:r w:rsidRPr="00AE6434">
              <w:rPr>
                <w:iCs/>
                <w:sz w:val="20"/>
                <w:lang w:val="en-GB"/>
              </w:rPr>
              <w:t>Tdh</w:t>
            </w:r>
            <w:proofErr w:type="spellEnd"/>
            <w:r w:rsidRPr="00AE6434">
              <w:rPr>
                <w:iCs/>
                <w:sz w:val="20"/>
                <w:lang w:val="en-GB"/>
              </w:rPr>
              <w:t xml:space="preserve"> projects over a continuous period (minimum 1 year).   </w:t>
            </w:r>
          </w:p>
          <w:p w:rsidR="00121586" w:rsidRPr="00AE6434" w:rsidRDefault="00121586">
            <w:pPr>
              <w:spacing w:after="0"/>
              <w:rPr>
                <w:iCs/>
                <w:sz w:val="20"/>
                <w:lang w:val="en-GB"/>
              </w:rPr>
            </w:pPr>
          </w:p>
          <w:p w:rsidR="00121586" w:rsidRPr="00AE6434" w:rsidRDefault="00AE6434">
            <w:pPr>
              <w:spacing w:after="0"/>
              <w:rPr>
                <w:iCs/>
                <w:sz w:val="20"/>
                <w:lang w:val="en-GB"/>
              </w:rPr>
            </w:pPr>
            <w:r w:rsidRPr="00AE6434">
              <w:rPr>
                <w:iCs/>
                <w:sz w:val="20"/>
                <w:lang w:val="en-GB"/>
              </w:rPr>
              <w:t>Numerator: Number of cases managed by customary actors that involve formal justice actors</w:t>
            </w:r>
          </w:p>
          <w:p w:rsidR="00121586" w:rsidRPr="00AE6434" w:rsidRDefault="00AE6434">
            <w:pPr>
              <w:spacing w:after="0"/>
              <w:rPr>
                <w:i/>
                <w:sz w:val="20"/>
                <w:lang w:val="en-GB"/>
              </w:rPr>
            </w:pPr>
            <w:r w:rsidRPr="00AE6434">
              <w:rPr>
                <w:iCs/>
                <w:sz w:val="20"/>
                <w:lang w:val="en-GB"/>
              </w:rPr>
              <w:t xml:space="preserve">Denominator: Total number of cases of children treated by customary actors. </w:t>
            </w:r>
          </w:p>
          <w:p w:rsidR="00121586" w:rsidRPr="00AE6434" w:rsidRDefault="00121586">
            <w:pPr>
              <w:spacing w:after="0"/>
              <w:rPr>
                <w:i/>
                <w:sz w:val="20"/>
                <w:lang w:val="en-GB"/>
              </w:rPr>
            </w:pPr>
          </w:p>
        </w:tc>
      </w:tr>
      <w:tr w:rsidR="00121586" w:rsidRPr="00AE6434">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1586" w:rsidRPr="00AE6434" w:rsidRDefault="00AE6434">
            <w:pPr>
              <w:tabs>
                <w:tab w:val="left" w:pos="3960"/>
              </w:tabs>
              <w:spacing w:after="120" w:line="240" w:lineRule="auto"/>
              <w:rPr>
                <w:rFonts w:ascii="Calibri" w:eastAsia="Calibri" w:hAnsi="Calibri" w:cs="Calibri"/>
                <w:b/>
                <w:sz w:val="20"/>
                <w:lang w:val="en-GB"/>
              </w:rPr>
            </w:pPr>
            <w:r w:rsidRPr="00AE6434">
              <w:rPr>
                <w:rFonts w:ascii="Calibri" w:eastAsia="Calibri" w:hAnsi="Calibri" w:cs="Calibri"/>
                <w:b/>
                <w:sz w:val="20"/>
                <w:lang w:val="en-GB"/>
              </w:rPr>
              <w:t xml:space="preserve">Baseline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121586" w:rsidRPr="00AE6434" w:rsidRDefault="00AE6434">
            <w:pPr>
              <w:spacing w:after="0"/>
              <w:rPr>
                <w:iCs/>
                <w:sz w:val="20"/>
                <w:lang w:val="en-GB"/>
              </w:rPr>
            </w:pPr>
            <w:r w:rsidRPr="00AE6434">
              <w:rPr>
                <w:iCs/>
                <w:sz w:val="20"/>
                <w:lang w:val="en-GB"/>
              </w:rPr>
              <w:t xml:space="preserve">No baseline needed. </w:t>
            </w:r>
          </w:p>
        </w:tc>
      </w:tr>
      <w:tr w:rsidR="00121586" w:rsidRPr="003746D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21586" w:rsidRPr="00AE6434" w:rsidRDefault="00AE6434">
            <w:pPr>
              <w:tabs>
                <w:tab w:val="left" w:pos="3960"/>
              </w:tabs>
              <w:spacing w:after="120" w:line="240" w:lineRule="auto"/>
              <w:rPr>
                <w:rFonts w:ascii="Calibri" w:eastAsia="Calibri" w:hAnsi="Calibri" w:cs="Calibri"/>
                <w:b/>
                <w:sz w:val="20"/>
                <w:lang w:val="en-GB"/>
              </w:rPr>
            </w:pPr>
            <w:r w:rsidRPr="00AE6434">
              <w:rPr>
                <w:rFonts w:ascii="Calibri" w:eastAsia="Calibri" w:hAnsi="Calibri" w:cs="Calibri"/>
                <w:b/>
                <w:sz w:val="20"/>
                <w:lang w:val="en-GB"/>
              </w:rPr>
              <w:t xml:space="preserve">Sources and methods of collection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1586" w:rsidRPr="00AE6434" w:rsidRDefault="00AE6434">
            <w:pPr>
              <w:spacing w:after="0"/>
              <w:rPr>
                <w:iCs/>
                <w:sz w:val="20"/>
                <w:lang w:val="en-GB"/>
              </w:rPr>
            </w:pPr>
            <w:r w:rsidRPr="00AE6434">
              <w:rPr>
                <w:iCs/>
                <w:sz w:val="20"/>
                <w:lang w:val="en-GB"/>
              </w:rPr>
              <w:t xml:space="preserve">This information is found in quantitative data collection activities from the customary elders in each target country. The collection method is as follows: </w:t>
            </w:r>
          </w:p>
          <w:p w:rsidR="00121586" w:rsidRPr="00AE6434" w:rsidRDefault="00AE6434">
            <w:pPr>
              <w:pStyle w:val="Paragraphedeliste"/>
              <w:numPr>
                <w:ilvl w:val="0"/>
                <w:numId w:val="6"/>
              </w:numPr>
              <w:spacing w:after="0"/>
              <w:rPr>
                <w:iCs/>
                <w:sz w:val="20"/>
                <w:lang w:val="en-GB"/>
              </w:rPr>
            </w:pPr>
            <w:r w:rsidRPr="00AE6434">
              <w:rPr>
                <w:iCs/>
                <w:sz w:val="20"/>
                <w:lang w:val="en-GB"/>
              </w:rPr>
              <w:t>Mapping is conducted to identify all customary chiefs in a specific geographical area (village, city district).</w:t>
            </w:r>
          </w:p>
          <w:p w:rsidR="00121586" w:rsidRPr="00AE6434" w:rsidRDefault="00AE6434">
            <w:pPr>
              <w:pStyle w:val="Paragraphedeliste"/>
              <w:numPr>
                <w:ilvl w:val="0"/>
                <w:numId w:val="6"/>
              </w:numPr>
              <w:spacing w:after="0"/>
              <w:rPr>
                <w:iCs/>
                <w:sz w:val="20"/>
                <w:lang w:val="en-GB"/>
              </w:rPr>
            </w:pPr>
            <w:r w:rsidRPr="00AE6434">
              <w:rPr>
                <w:iCs/>
                <w:sz w:val="20"/>
                <w:lang w:val="en-GB"/>
              </w:rPr>
              <w:t xml:space="preserve">Get the formal actors involved or inform them of such a process, the risk being that if they are not involved, they may object later in the initiative; </w:t>
            </w:r>
          </w:p>
          <w:p w:rsidR="00121586" w:rsidRPr="00AE6434" w:rsidRDefault="00AE6434">
            <w:pPr>
              <w:pStyle w:val="Paragraphedeliste"/>
              <w:numPr>
                <w:ilvl w:val="0"/>
                <w:numId w:val="6"/>
              </w:numPr>
              <w:spacing w:after="0"/>
              <w:rPr>
                <w:iCs/>
                <w:sz w:val="20"/>
                <w:lang w:val="en-GB"/>
              </w:rPr>
            </w:pPr>
            <w:r w:rsidRPr="00AE6434">
              <w:rPr>
                <w:iCs/>
                <w:sz w:val="20"/>
                <w:lang w:val="en-GB"/>
              </w:rPr>
              <w:t xml:space="preserve">The criteria are applied to select the target group, which represents between 5% and 10% of all of the actors in the defined geographical area: the actor's willingness to participate in the activity and share information, respecting children's anonymity; estimate the average of children's cases treated compared to adult cases. </w:t>
            </w:r>
          </w:p>
          <w:p w:rsidR="00121586" w:rsidRPr="00AE6434" w:rsidRDefault="00AE6434">
            <w:pPr>
              <w:pStyle w:val="Paragraphedeliste"/>
              <w:numPr>
                <w:ilvl w:val="0"/>
                <w:numId w:val="6"/>
              </w:numPr>
              <w:spacing w:after="0"/>
              <w:rPr>
                <w:iCs/>
                <w:sz w:val="20"/>
                <w:lang w:val="en-GB"/>
              </w:rPr>
            </w:pPr>
            <w:r w:rsidRPr="00AE6434">
              <w:rPr>
                <w:iCs/>
                <w:sz w:val="20"/>
                <w:lang w:val="en-GB"/>
              </w:rPr>
              <w:t xml:space="preserve">Each actor in the target group is interviewed monthly to describe the cases they processed the previous month. </w:t>
            </w:r>
          </w:p>
          <w:p w:rsidR="00121586" w:rsidRPr="00AE6434" w:rsidRDefault="00AE6434">
            <w:pPr>
              <w:pStyle w:val="Paragraphedeliste"/>
              <w:numPr>
                <w:ilvl w:val="0"/>
                <w:numId w:val="6"/>
              </w:numPr>
              <w:spacing w:after="0"/>
              <w:rPr>
                <w:iCs/>
                <w:sz w:val="20"/>
                <w:lang w:val="en-GB"/>
              </w:rPr>
            </w:pPr>
            <w:r w:rsidRPr="00AE6434">
              <w:rPr>
                <w:iCs/>
                <w:sz w:val="20"/>
                <w:lang w:val="en-GB"/>
              </w:rPr>
              <w:t>Information is stored on paper during the interviews and then stored in a computer database</w:t>
            </w:r>
          </w:p>
          <w:p w:rsidR="00121586" w:rsidRPr="00AE6434" w:rsidRDefault="00AE6434">
            <w:pPr>
              <w:pStyle w:val="Paragraphedeliste"/>
              <w:numPr>
                <w:ilvl w:val="0"/>
                <w:numId w:val="6"/>
              </w:numPr>
              <w:spacing w:after="0"/>
              <w:rPr>
                <w:iCs/>
                <w:sz w:val="20"/>
                <w:lang w:val="en-GB"/>
              </w:rPr>
            </w:pPr>
            <w:r w:rsidRPr="00AE6434">
              <w:rPr>
                <w:iCs/>
                <w:sz w:val="20"/>
                <w:lang w:val="en-GB"/>
              </w:rPr>
              <w:t>The data analysis is done using quantitative analysis software (SPSS)</w:t>
            </w:r>
          </w:p>
          <w:p w:rsidR="00121586" w:rsidRPr="00AE6434" w:rsidRDefault="00121586">
            <w:pPr>
              <w:spacing w:after="0"/>
              <w:rPr>
                <w:i/>
                <w:sz w:val="20"/>
                <w:lang w:val="en-GB"/>
              </w:rPr>
            </w:pPr>
          </w:p>
        </w:tc>
      </w:tr>
      <w:tr w:rsidR="00121586" w:rsidRPr="00AE6434">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21586" w:rsidRPr="00AE6434" w:rsidRDefault="00AE6434">
            <w:pPr>
              <w:tabs>
                <w:tab w:val="left" w:pos="3960"/>
              </w:tabs>
              <w:spacing w:after="120" w:line="240" w:lineRule="auto"/>
              <w:rPr>
                <w:rFonts w:ascii="Calibri" w:eastAsia="Calibri" w:hAnsi="Calibri" w:cs="Calibri"/>
                <w:b/>
                <w:sz w:val="20"/>
                <w:lang w:val="en-GB"/>
              </w:rPr>
            </w:pPr>
            <w:r w:rsidRPr="00AE6434">
              <w:rPr>
                <w:rFonts w:ascii="Calibri" w:eastAsia="Calibri" w:hAnsi="Calibri" w:cs="Calibri"/>
                <w:b/>
                <w:sz w:val="20"/>
                <w:lang w:val="en-GB"/>
              </w:rPr>
              <w:t>Collection tools</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1586" w:rsidRPr="00AE6434" w:rsidRDefault="00AE6434">
            <w:pPr>
              <w:spacing w:after="0"/>
              <w:rPr>
                <w:iCs/>
                <w:sz w:val="20"/>
                <w:lang w:val="en-GB"/>
              </w:rPr>
            </w:pPr>
            <w:r w:rsidRPr="00AE6434">
              <w:rPr>
                <w:iCs/>
                <w:sz w:val="20"/>
                <w:lang w:val="en-GB"/>
              </w:rPr>
              <w:t xml:space="preserve">The data collection tool (questionnaire) has existed since 2013, and was reviewed </w:t>
            </w:r>
            <w:r w:rsidRPr="00AE6434">
              <w:rPr>
                <w:iCs/>
                <w:sz w:val="20"/>
                <w:lang w:val="en-GB"/>
              </w:rPr>
              <w:lastRenderedPageBreak/>
              <w:t xml:space="preserve">in 2015. This indicator corresponds to questionnaire question 26A: " </w:t>
            </w:r>
            <w:r w:rsidRPr="00AE6434">
              <w:rPr>
                <w:i/>
                <w:sz w:val="20"/>
                <w:lang w:val="en-GB"/>
              </w:rPr>
              <w:t>Were any formal justice actors involved in resolving the dispute?</w:t>
            </w:r>
            <w:r w:rsidRPr="00AE6434">
              <w:rPr>
                <w:lang w:val="en-GB"/>
              </w:rPr>
              <w:t>"</w:t>
            </w:r>
            <w:r w:rsidRPr="00AE6434">
              <w:rPr>
                <w:iCs/>
                <w:sz w:val="20"/>
                <w:lang w:val="en-GB"/>
              </w:rPr>
              <w:t> »</w:t>
            </w:r>
          </w:p>
          <w:p w:rsidR="00121586" w:rsidRPr="00AE6434" w:rsidRDefault="00121586">
            <w:pPr>
              <w:spacing w:after="0"/>
              <w:rPr>
                <w:iCs/>
                <w:sz w:val="20"/>
                <w:lang w:val="en-GB"/>
              </w:rPr>
            </w:pPr>
          </w:p>
          <w:p w:rsidR="00121586" w:rsidRPr="00AE6434" w:rsidRDefault="00AE6434">
            <w:pPr>
              <w:spacing w:after="0"/>
              <w:rPr>
                <w:iCs/>
                <w:sz w:val="20"/>
                <w:lang w:val="en-GB"/>
              </w:rPr>
            </w:pPr>
            <w:r w:rsidRPr="00AE6434">
              <w:rPr>
                <w:iCs/>
                <w:sz w:val="20"/>
                <w:lang w:val="en-GB"/>
              </w:rPr>
              <w:t xml:space="preserve">Currently, the process is underway to switch to a more refined data collection methodology to improve the ease of collection and quality of the analysis, using mobile collection tools.  This will be gradually implemented over 2017. </w:t>
            </w:r>
          </w:p>
        </w:tc>
      </w:tr>
      <w:tr w:rsidR="00121586" w:rsidRPr="00AE6434">
        <w:tc>
          <w:tcPr>
            <w:tcW w:w="2303" w:type="dxa"/>
            <w:tcBorders>
              <w:top w:val="single" w:sz="4" w:space="0" w:color="auto"/>
              <w:left w:val="single" w:sz="4" w:space="0" w:color="auto"/>
              <w:bottom w:val="nil"/>
              <w:right w:val="single" w:sz="4" w:space="0" w:color="auto"/>
            </w:tcBorders>
            <w:shd w:val="clear" w:color="auto" w:fill="DBE5F1" w:themeFill="accent1" w:themeFillTint="33"/>
            <w:hideMark/>
          </w:tcPr>
          <w:p w:rsidR="00121586" w:rsidRPr="00AE6434" w:rsidRDefault="00121586">
            <w:pPr>
              <w:tabs>
                <w:tab w:val="left" w:pos="3960"/>
              </w:tabs>
              <w:spacing w:after="120" w:line="240" w:lineRule="auto"/>
              <w:rPr>
                <w:rFonts w:ascii="Calibri" w:eastAsia="Calibri" w:hAnsi="Calibri" w:cs="Calibri"/>
                <w:b/>
                <w:sz w:val="20"/>
                <w:lang w:val="en-GB"/>
              </w:rPr>
            </w:pPr>
          </w:p>
        </w:tc>
        <w:tc>
          <w:tcPr>
            <w:tcW w:w="6877" w:type="dxa"/>
            <w:tcBorders>
              <w:top w:val="single" w:sz="4" w:space="0" w:color="auto"/>
              <w:left w:val="single" w:sz="4" w:space="0" w:color="auto"/>
              <w:bottom w:val="nil"/>
              <w:right w:val="single" w:sz="4" w:space="0" w:color="auto"/>
            </w:tcBorders>
            <w:shd w:val="clear" w:color="auto" w:fill="FFFFFF" w:themeFill="background1"/>
            <w:hideMark/>
          </w:tcPr>
          <w:p w:rsidR="00121586" w:rsidRPr="00AE6434" w:rsidRDefault="00121586">
            <w:pPr>
              <w:spacing w:after="0"/>
              <w:rPr>
                <w:i/>
                <w:sz w:val="20"/>
                <w:lang w:val="en-GB"/>
              </w:rPr>
            </w:pPr>
          </w:p>
        </w:tc>
      </w:tr>
      <w:tr w:rsidR="00121586" w:rsidRPr="003746D7">
        <w:tc>
          <w:tcPr>
            <w:tcW w:w="2303" w:type="dxa"/>
            <w:tcBorders>
              <w:top w:val="nil"/>
              <w:left w:val="single" w:sz="4" w:space="0" w:color="auto"/>
              <w:bottom w:val="single" w:sz="4" w:space="0" w:color="auto"/>
              <w:right w:val="single" w:sz="4" w:space="0" w:color="auto"/>
            </w:tcBorders>
            <w:shd w:val="clear" w:color="auto" w:fill="DBE5F1" w:themeFill="accent1" w:themeFillTint="33"/>
            <w:hideMark/>
          </w:tcPr>
          <w:p w:rsidR="00121586" w:rsidRPr="00AE6434" w:rsidRDefault="00AE6434">
            <w:pPr>
              <w:tabs>
                <w:tab w:val="left" w:pos="3960"/>
              </w:tabs>
              <w:spacing w:after="120" w:line="240" w:lineRule="auto"/>
              <w:rPr>
                <w:rFonts w:ascii="Calibri" w:eastAsia="Calibri" w:hAnsi="Calibri" w:cs="Calibri"/>
                <w:b/>
                <w:sz w:val="20"/>
                <w:lang w:val="en-GB"/>
              </w:rPr>
            </w:pPr>
            <w:r w:rsidRPr="00AE6434">
              <w:rPr>
                <w:rFonts w:ascii="Calibri" w:eastAsia="Calibri" w:hAnsi="Calibri" w:cs="Calibri"/>
                <w:b/>
                <w:sz w:val="20"/>
                <w:lang w:val="en-GB"/>
              </w:rPr>
              <w:t>Temporality</w:t>
            </w:r>
          </w:p>
        </w:tc>
        <w:tc>
          <w:tcPr>
            <w:tcW w:w="6877" w:type="dxa"/>
            <w:tcBorders>
              <w:top w:val="nil"/>
              <w:left w:val="single" w:sz="4" w:space="0" w:color="auto"/>
              <w:bottom w:val="single" w:sz="4" w:space="0" w:color="auto"/>
              <w:right w:val="single" w:sz="4" w:space="0" w:color="auto"/>
            </w:tcBorders>
            <w:shd w:val="clear" w:color="auto" w:fill="FFFFFF" w:themeFill="background1"/>
            <w:hideMark/>
          </w:tcPr>
          <w:p w:rsidR="00121586" w:rsidRPr="00AE6434" w:rsidRDefault="00AE6434">
            <w:pPr>
              <w:spacing w:after="0"/>
              <w:rPr>
                <w:iCs/>
                <w:sz w:val="20"/>
                <w:lang w:val="en-GB"/>
              </w:rPr>
            </w:pPr>
            <w:r w:rsidRPr="00AE6434">
              <w:rPr>
                <w:iCs/>
                <w:sz w:val="20"/>
                <w:lang w:val="en-GB"/>
              </w:rPr>
              <w:t>The data are collected monthly, over a continuous period during the project.  A "IJS" project-specific reporting system will be established.  Consolidation at the global level will be on a quarterly basis. At the global level, a bi-annual analysis will be conducted.</w:t>
            </w:r>
          </w:p>
        </w:tc>
      </w:tr>
      <w:tr w:rsidR="00121586" w:rsidRPr="003746D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1586" w:rsidRPr="00AE6434" w:rsidRDefault="00AE6434">
            <w:pPr>
              <w:tabs>
                <w:tab w:val="left" w:pos="3960"/>
              </w:tabs>
              <w:spacing w:after="120" w:line="240" w:lineRule="auto"/>
              <w:rPr>
                <w:rFonts w:ascii="Calibri" w:eastAsia="Calibri" w:hAnsi="Calibri" w:cs="Calibri"/>
                <w:b/>
                <w:sz w:val="20"/>
                <w:lang w:val="en-GB"/>
              </w:rPr>
            </w:pPr>
            <w:r w:rsidRPr="00AE6434">
              <w:rPr>
                <w:rFonts w:ascii="Calibri" w:eastAsia="Calibri" w:hAnsi="Calibri" w:cs="Calibri"/>
                <w:b/>
                <w:sz w:val="20"/>
                <w:lang w:val="en-GB"/>
              </w:rPr>
              <w:t>Roles and responsibilities</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121586" w:rsidRPr="00AE6434" w:rsidRDefault="00AE6434">
            <w:pPr>
              <w:spacing w:after="0"/>
              <w:rPr>
                <w:iCs/>
                <w:sz w:val="20"/>
                <w:lang w:val="en-GB"/>
              </w:rPr>
            </w:pPr>
            <w:r w:rsidRPr="00AE6434">
              <w:rPr>
                <w:iCs/>
                <w:sz w:val="20"/>
                <w:lang w:val="en-GB"/>
              </w:rPr>
              <w:t xml:space="preserve">Data collection and analysis is done by team members on the ground (project managers), supervised by managers (protection coordinators and delegation heads). Technical resources within the JJ program and the quality and accountability department support developing tools and analyses. </w:t>
            </w:r>
          </w:p>
        </w:tc>
      </w:tr>
      <w:tr w:rsidR="00121586" w:rsidRPr="003746D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21586" w:rsidRPr="00AE6434" w:rsidRDefault="00AE6434">
            <w:pPr>
              <w:tabs>
                <w:tab w:val="left" w:pos="3960"/>
              </w:tabs>
              <w:spacing w:after="120" w:line="240" w:lineRule="auto"/>
              <w:rPr>
                <w:rFonts w:ascii="Calibri" w:eastAsia="Calibri" w:hAnsi="Calibri" w:cs="Calibri"/>
                <w:b/>
                <w:sz w:val="20"/>
                <w:lang w:val="en-GB"/>
              </w:rPr>
            </w:pPr>
            <w:r w:rsidRPr="00AE6434">
              <w:rPr>
                <w:rFonts w:ascii="Calibri" w:eastAsia="Calibri" w:hAnsi="Calibri" w:cs="Calibri"/>
                <w:b/>
                <w:sz w:val="20"/>
                <w:lang w:val="en-GB"/>
              </w:rPr>
              <w:t>Issues related to the recommended quality</w:t>
            </w:r>
          </w:p>
          <w:p w:rsidR="00121586" w:rsidRPr="00AE6434" w:rsidRDefault="00121586">
            <w:pPr>
              <w:tabs>
                <w:tab w:val="left" w:pos="3960"/>
              </w:tabs>
              <w:spacing w:after="120" w:line="240" w:lineRule="auto"/>
              <w:rPr>
                <w:rFonts w:ascii="Calibri" w:eastAsia="Calibri" w:hAnsi="Calibri" w:cs="Calibri"/>
                <w:b/>
                <w:sz w:val="20"/>
                <w:lang w:val="en-GB"/>
              </w:rPr>
            </w:pP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1586" w:rsidRPr="00AE6434" w:rsidRDefault="00AE6434">
            <w:pPr>
              <w:spacing w:after="0"/>
              <w:rPr>
                <w:iCs/>
                <w:sz w:val="20"/>
                <w:lang w:val="en-GB"/>
              </w:rPr>
            </w:pPr>
            <w:r w:rsidRPr="00AE6434">
              <w:rPr>
                <w:iCs/>
                <w:sz w:val="20"/>
                <w:lang w:val="en-GB"/>
              </w:rPr>
              <w:t xml:space="preserve">The main quality issue is bias in the source of information (unique): the details of the case are based on the customary actor's testimony and perspective. People who provide us with information on the case are also involved in the other activities of the project (coordination, awareness, attending participatory activities with the kids, etc.). Therefore, it is possible that they provide information based on what they think we want to hear and not the real facts. Given that the custom is mainly based on oral traditions, it is not certain that written records are available, even if they exist from time to time. </w:t>
            </w:r>
          </w:p>
          <w:p w:rsidR="00121586" w:rsidRPr="00AE6434" w:rsidRDefault="00121586">
            <w:pPr>
              <w:spacing w:after="0"/>
              <w:rPr>
                <w:iCs/>
                <w:sz w:val="20"/>
                <w:lang w:val="en-GB"/>
              </w:rPr>
            </w:pPr>
          </w:p>
          <w:p w:rsidR="00121586" w:rsidRPr="00AE6434" w:rsidRDefault="00AE6434">
            <w:pPr>
              <w:spacing w:after="0"/>
              <w:rPr>
                <w:iCs/>
                <w:sz w:val="20"/>
                <w:lang w:val="en-GB"/>
              </w:rPr>
            </w:pPr>
            <w:r w:rsidRPr="00AE6434">
              <w:rPr>
                <w:iCs/>
                <w:sz w:val="20"/>
                <w:lang w:val="en-GB"/>
              </w:rPr>
              <w:t xml:space="preserve">To promote critical thinking about the reported news, people that do the data collection are invited to give their opinion on the reliability of the information provided through a few questions directed to the interviewer at the end of the interview. </w:t>
            </w:r>
          </w:p>
          <w:p w:rsidR="00121586" w:rsidRPr="00AE6434" w:rsidRDefault="00121586">
            <w:pPr>
              <w:spacing w:after="0"/>
              <w:rPr>
                <w:iCs/>
                <w:sz w:val="20"/>
                <w:lang w:val="en-GB"/>
              </w:rPr>
            </w:pPr>
          </w:p>
          <w:p w:rsidR="00121586" w:rsidRPr="00AE6434" w:rsidRDefault="00AE6434">
            <w:pPr>
              <w:spacing w:after="0"/>
              <w:rPr>
                <w:iCs/>
                <w:sz w:val="20"/>
                <w:lang w:val="en-GB"/>
              </w:rPr>
            </w:pPr>
            <w:r w:rsidRPr="00AE6434">
              <w:rPr>
                <w:iCs/>
                <w:sz w:val="20"/>
                <w:lang w:val="en-GB"/>
              </w:rPr>
              <w:t xml:space="preserve">In addition, we are putting data triangulation systems in place, for example, qualitative interviews with the children involved, or follow-up for the cases of children who are transferred to the formal systems with partner support.  </w:t>
            </w:r>
          </w:p>
          <w:p w:rsidR="00121586" w:rsidRPr="00AE6434" w:rsidRDefault="00121586">
            <w:pPr>
              <w:spacing w:after="0"/>
              <w:rPr>
                <w:i/>
                <w:sz w:val="20"/>
                <w:lang w:val="en-GB"/>
              </w:rPr>
            </w:pPr>
          </w:p>
        </w:tc>
      </w:tr>
      <w:tr w:rsidR="00121586" w:rsidRPr="003746D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1586" w:rsidRPr="00AE6434" w:rsidRDefault="00AE6434">
            <w:pPr>
              <w:tabs>
                <w:tab w:val="left" w:pos="3960"/>
              </w:tabs>
              <w:spacing w:after="120" w:line="240" w:lineRule="auto"/>
              <w:rPr>
                <w:rFonts w:ascii="Calibri" w:eastAsia="Calibri" w:hAnsi="Calibri" w:cs="Calibri"/>
                <w:b/>
                <w:sz w:val="20"/>
                <w:lang w:val="en-GB"/>
              </w:rPr>
            </w:pPr>
            <w:r w:rsidRPr="00AE6434">
              <w:rPr>
                <w:rFonts w:ascii="Calibri" w:eastAsia="Calibri" w:hAnsi="Calibri" w:cs="Calibri"/>
                <w:b/>
                <w:sz w:val="20"/>
                <w:lang w:val="en-GB"/>
              </w:rPr>
              <w:t>Analysis Plan</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121586" w:rsidRPr="00AE6434" w:rsidRDefault="00AE6434">
            <w:pPr>
              <w:spacing w:after="0"/>
              <w:rPr>
                <w:i/>
                <w:sz w:val="20"/>
                <w:lang w:val="en-GB"/>
              </w:rPr>
            </w:pPr>
            <w:r w:rsidRPr="00AE6434">
              <w:rPr>
                <w:i/>
                <w:sz w:val="20"/>
                <w:lang w:val="en-GB"/>
              </w:rPr>
              <w:t xml:space="preserve"> </w:t>
            </w:r>
            <w:r w:rsidRPr="00AE6434">
              <w:rPr>
                <w:sz w:val="20"/>
                <w:lang w:val="en-GB"/>
              </w:rPr>
              <w:t xml:space="preserve">The quantitative data will be analysed by country on a quarterly basis and triangulations will be conducted with other sources of information (monthly case studies, interviews with children, ethnographic data). In addition, a comparative meta-analysis of the data from all countries will be conducted annually. For the comparative approach, it is important consider the differences between contexts, for example, the different definitions of types of offences, which will be specified in the metadata prepared by each country.  </w:t>
            </w:r>
            <w:r w:rsidRPr="00AE6434">
              <w:rPr>
                <w:i/>
                <w:sz w:val="20"/>
                <w:lang w:val="en-GB"/>
              </w:rPr>
              <w:t xml:space="preserve"> </w:t>
            </w:r>
          </w:p>
        </w:tc>
      </w:tr>
      <w:tr w:rsidR="00121586" w:rsidRPr="003746D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1586" w:rsidRPr="00AE6434" w:rsidRDefault="00AE6434">
            <w:pPr>
              <w:tabs>
                <w:tab w:val="left" w:pos="3960"/>
              </w:tabs>
              <w:spacing w:after="120" w:line="240" w:lineRule="auto"/>
              <w:rPr>
                <w:rFonts w:ascii="Calibri" w:eastAsia="Calibri" w:hAnsi="Calibri" w:cs="Calibri"/>
                <w:b/>
                <w:sz w:val="20"/>
                <w:lang w:val="en-GB"/>
              </w:rPr>
            </w:pPr>
            <w:r w:rsidRPr="00AE6434">
              <w:rPr>
                <w:rFonts w:ascii="Calibri" w:eastAsia="Calibri" w:hAnsi="Calibri" w:cs="Calibri"/>
                <w:b/>
                <w:sz w:val="20"/>
                <w:lang w:val="en-GB"/>
              </w:rPr>
              <w:t xml:space="preserve">Resources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121586" w:rsidRPr="00AE6434" w:rsidRDefault="00AE6434">
            <w:pPr>
              <w:spacing w:after="0"/>
              <w:rPr>
                <w:iCs/>
                <w:sz w:val="20"/>
                <w:lang w:val="en-GB"/>
              </w:rPr>
            </w:pPr>
            <w:r w:rsidRPr="00AE6434">
              <w:rPr>
                <w:iCs/>
                <w:sz w:val="20"/>
                <w:lang w:val="en-GB"/>
              </w:rPr>
              <w:t xml:space="preserve">Ensure that in the countries in which activities on customary justice are planned  that there is always a percentage of an employee's time dedicated to this activity, about 50% at each search site: according to the context, interviews can be planned for 8 to 10 people per month, which can take 8-10 business days, including transport and data entry.  In addition, please ensure that the people are well trained to perform this task, including translating the tools into the local language. This can require a time investment of around 2 weeks.  If the data will be collected by mobile tool, it is necessary to buy an Android phone (Huawei Honor5 or Y511; or Samsung J2 models recommended), a cost of around 400 CHF. </w:t>
            </w:r>
          </w:p>
        </w:tc>
      </w:tr>
    </w:tbl>
    <w:p w:rsidR="00121586" w:rsidRPr="00AE6434" w:rsidRDefault="00121586">
      <w:pPr>
        <w:rPr>
          <w:lang w:val="en-GB"/>
        </w:rPr>
      </w:pPr>
    </w:p>
    <w:sectPr w:rsidR="00121586" w:rsidRPr="00AE643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86" w:rsidRDefault="005F4786">
      <w:pPr>
        <w:spacing w:after="0" w:line="240" w:lineRule="auto"/>
      </w:pPr>
      <w:r>
        <w:separator/>
      </w:r>
    </w:p>
  </w:endnote>
  <w:endnote w:type="continuationSeparator" w:id="0">
    <w:p w:rsidR="005F4786" w:rsidRDefault="005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86" w:rsidRDefault="005F4786">
      <w:pPr>
        <w:spacing w:after="0" w:line="240" w:lineRule="auto"/>
      </w:pPr>
      <w:r>
        <w:separator/>
      </w:r>
    </w:p>
  </w:footnote>
  <w:footnote w:type="continuationSeparator" w:id="0">
    <w:p w:rsidR="005F4786" w:rsidRDefault="005F4786">
      <w:pPr>
        <w:spacing w:after="0" w:line="240" w:lineRule="auto"/>
      </w:pPr>
      <w:r>
        <w:continuationSeparator/>
      </w:r>
    </w:p>
  </w:footnote>
  <w:footnote w:id="1">
    <w:p w:rsidR="00121586" w:rsidRPr="003F00AE" w:rsidRDefault="00AE6434">
      <w:pPr>
        <w:pStyle w:val="Notedebasdepage"/>
        <w:rPr>
          <w:lang w:val="en-US"/>
        </w:rPr>
      </w:pPr>
      <w:r>
        <w:rPr>
          <w:rStyle w:val="Appelnotedebasdep"/>
        </w:rPr>
        <w:footnoteRef/>
      </w:r>
      <w:r w:rsidRPr="003F00AE">
        <w:rPr>
          <w:lang w:val="en-US"/>
        </w:rPr>
        <w:t xml:space="preserve"> In the countries of intervention in </w:t>
      </w:r>
      <w:r w:rsidRPr="003F00AE">
        <w:rPr>
          <w:b/>
          <w:lang w:val="en-US"/>
        </w:rPr>
        <w:t>Central America</w:t>
      </w:r>
      <w:r w:rsidRPr="003F00AE">
        <w:rPr>
          <w:lang w:val="en-US"/>
        </w:rPr>
        <w:t xml:space="preserve"> : </w:t>
      </w:r>
      <w:r w:rsidR="003F00AE">
        <w:t>Panama, Nicaragua, Hond</w:t>
      </w:r>
      <w:r w:rsidR="003746D7">
        <w:t>uras, Guatemala and El Salvador ;</w:t>
      </w:r>
      <w:r w:rsidR="003F00AE">
        <w:t xml:space="preserve"> </w:t>
      </w:r>
      <w:bookmarkStart w:id="0" w:name="_GoBack"/>
      <w:bookmarkEnd w:id="0"/>
      <w:r w:rsidR="003F00AE">
        <w:rPr>
          <w:b/>
        </w:rPr>
        <w:t xml:space="preserve">South </w:t>
      </w:r>
      <w:proofErr w:type="spellStart"/>
      <w:r w:rsidR="003F00AE">
        <w:rPr>
          <w:b/>
        </w:rPr>
        <w:t>America</w:t>
      </w:r>
      <w:proofErr w:type="spellEnd"/>
      <w:r w:rsidR="003F00AE">
        <w:t xml:space="preserve"> : </w:t>
      </w:r>
      <w:proofErr w:type="spellStart"/>
      <w:r w:rsidR="003F00AE">
        <w:t>Colombia</w:t>
      </w:r>
      <w:proofErr w:type="spellEnd"/>
      <w:r w:rsidR="003F00AE">
        <w:t xml:space="preserve">, </w:t>
      </w:r>
      <w:proofErr w:type="spellStart"/>
      <w:r w:rsidR="003F00AE">
        <w:t>Ecuador</w:t>
      </w:r>
      <w:proofErr w:type="spellEnd"/>
      <w:r w:rsidR="003F00AE">
        <w:t xml:space="preserve">, </w:t>
      </w:r>
      <w:proofErr w:type="spellStart"/>
      <w:r w:rsidR="003F00AE">
        <w:t>Peru</w:t>
      </w:r>
      <w:proofErr w:type="spellEnd"/>
      <w:r w:rsidR="003F00AE">
        <w:t xml:space="preserve">, </w:t>
      </w:r>
      <w:proofErr w:type="spellStart"/>
      <w:r w:rsidR="003F00AE">
        <w:t>Brazil</w:t>
      </w:r>
      <w:proofErr w:type="spellEnd"/>
      <w:r w:rsidR="003F00AE">
        <w:t xml:space="preserve">, Bolivia and Paraguay; </w:t>
      </w:r>
      <w:proofErr w:type="spellStart"/>
      <w:r w:rsidR="003F00AE">
        <w:rPr>
          <w:b/>
        </w:rPr>
        <w:t>Caribbean</w:t>
      </w:r>
      <w:proofErr w:type="spellEnd"/>
      <w:r w:rsidR="003F00AE">
        <w:t xml:space="preserve"> : </w:t>
      </w:r>
      <w:proofErr w:type="spellStart"/>
      <w:r w:rsidR="003F00AE">
        <w:t>Haiti</w:t>
      </w:r>
      <w:proofErr w:type="spellEnd"/>
      <w:r w:rsidR="003F00AE">
        <w:t>.</w:t>
      </w:r>
    </w:p>
  </w:footnote>
  <w:footnote w:id="2">
    <w:p w:rsidR="00121586" w:rsidRPr="003F00AE" w:rsidRDefault="00AE6434">
      <w:pPr>
        <w:pStyle w:val="Notedebasdepage"/>
        <w:rPr>
          <w:lang w:val="en-US"/>
        </w:rPr>
      </w:pPr>
      <w:r>
        <w:rPr>
          <w:rStyle w:val="Appelnotedebasdep"/>
        </w:rPr>
        <w:footnoteRef/>
      </w:r>
      <w:r w:rsidRPr="003F00AE">
        <w:rPr>
          <w:lang w:val="en-US"/>
        </w:rPr>
        <w:t xml:space="preserve"> In the countries of intervention: Benin, Burkina Faso, Burundi, Mauritania, Mali, Guinea Conakry.</w:t>
      </w:r>
    </w:p>
  </w:footnote>
  <w:footnote w:id="3">
    <w:p w:rsidR="00121586" w:rsidRPr="00AE6434" w:rsidRDefault="00AE6434">
      <w:pPr>
        <w:pStyle w:val="Notedebasdepage"/>
        <w:rPr>
          <w:lang w:val="en-US"/>
        </w:rPr>
      </w:pPr>
      <w:r>
        <w:rPr>
          <w:rStyle w:val="Appelnotedebasdep"/>
        </w:rPr>
        <w:footnoteRef/>
      </w:r>
      <w:r w:rsidRPr="00AE6434">
        <w:rPr>
          <w:lang w:val="en-US"/>
        </w:rPr>
        <w:t xml:space="preserve"> In the countries of intervention: Jordan, Palestine, Egypt, Afghanistan.</w:t>
      </w:r>
    </w:p>
  </w:footnote>
  <w:footnote w:id="4">
    <w:p w:rsidR="00121586" w:rsidRPr="00AE6434" w:rsidRDefault="00AE6434">
      <w:pPr>
        <w:pStyle w:val="Notedebasdepage"/>
        <w:rPr>
          <w:lang w:val="en-US"/>
        </w:rPr>
      </w:pPr>
      <w:r>
        <w:rPr>
          <w:rStyle w:val="Appelnotedebasdep"/>
        </w:rPr>
        <w:footnoteRef/>
      </w:r>
      <w:r w:rsidRPr="00AE6434">
        <w:rPr>
          <w:lang w:val="en-US"/>
        </w:rPr>
        <w:t xml:space="preserve"> For a more detailed discussion on the use of the term "customary" in the work of </w:t>
      </w:r>
      <w:proofErr w:type="spellStart"/>
      <w:r w:rsidRPr="00AE6434">
        <w:rPr>
          <w:lang w:val="en-US"/>
        </w:rPr>
        <w:t>Tdh</w:t>
      </w:r>
      <w:proofErr w:type="spellEnd"/>
      <w:r w:rsidRPr="00AE6434">
        <w:rPr>
          <w:lang w:val="en-US"/>
        </w:rPr>
        <w:t xml:space="preserve">, please refer to the literature review in the report: " </w:t>
      </w:r>
      <w:r w:rsidRPr="00AE6434">
        <w:rPr>
          <w:i/>
          <w:lang w:val="en-US"/>
        </w:rPr>
        <w:t>Children in conflict with the law and customary justice in Afghanistan, Egypt, Jordan and Palestin</w:t>
      </w:r>
      <w:r w:rsidRPr="00AE6434">
        <w:rPr>
          <w:lang w:val="en-US"/>
        </w:rP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86" w:rsidRDefault="00AE6434">
    <w:pPr>
      <w:pStyle w:val="En-tte"/>
      <w:ind w:left="3960" w:firstLine="3828"/>
      <w:rPr>
        <w:i/>
      </w:rPr>
    </w:pPr>
    <w:r>
      <w:rPr>
        <w:i/>
        <w:noProof/>
        <w:lang w:eastAsia="fr-CH"/>
      </w:rPr>
      <w:drawing>
        <wp:anchor distT="0" distB="0" distL="114300" distR="114300" simplePos="0" relativeHeight="251659264" behindDoc="0" locked="0" layoutInCell="1" allowOverlap="1" wp14:anchorId="0E309DD3" wp14:editId="7A235595">
          <wp:simplePos x="0" y="0"/>
          <wp:positionH relativeFrom="margin">
            <wp:posOffset>-85090</wp:posOffset>
          </wp:positionH>
          <wp:positionV relativeFrom="margin">
            <wp:posOffset>-483870</wp:posOffset>
          </wp:positionV>
          <wp:extent cx="1604010" cy="2774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010" cy="277495"/>
                  </a:xfrm>
                  <a:prstGeom prst="rect">
                    <a:avLst/>
                  </a:prstGeom>
                  <a:noFill/>
                </pic:spPr>
              </pic:pic>
            </a:graphicData>
          </a:graphic>
          <wp14:sizeRelH relativeFrom="page">
            <wp14:pctWidth>0</wp14:pctWidth>
          </wp14:sizeRelH>
          <wp14:sizeRelV relativeFrom="page">
            <wp14:pctHeight>0</wp14:pctHeight>
          </wp14:sizeRelV>
        </wp:anchor>
      </w:drawing>
    </w:r>
    <w:r>
      <w:rPr>
        <w:i/>
      </w:rPr>
      <w:t>15.05.2017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771D"/>
    <w:multiLevelType w:val="hybridMultilevel"/>
    <w:tmpl w:val="57B66116"/>
    <w:lvl w:ilvl="0" w:tplc="60D2ECB4">
      <w:start w:val="28"/>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1035E1C"/>
    <w:multiLevelType w:val="hybridMultilevel"/>
    <w:tmpl w:val="263404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958444F"/>
    <w:multiLevelType w:val="hybridMultilevel"/>
    <w:tmpl w:val="150CE66A"/>
    <w:lvl w:ilvl="0" w:tplc="7C6261F2">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DC759A8"/>
    <w:multiLevelType w:val="hybridMultilevel"/>
    <w:tmpl w:val="9158622E"/>
    <w:lvl w:ilvl="0" w:tplc="589495F0">
      <w:start w:val="1"/>
      <w:numFmt w:val="decimal"/>
      <w:lvlText w:val="%1."/>
      <w:lvlJc w:val="left"/>
      <w:pPr>
        <w:ind w:left="934" w:hanging="360"/>
      </w:pPr>
      <w:rPr>
        <w:rFonts w:hint="default"/>
      </w:rPr>
    </w:lvl>
    <w:lvl w:ilvl="1" w:tplc="100C0019" w:tentative="1">
      <w:start w:val="1"/>
      <w:numFmt w:val="lowerLetter"/>
      <w:lvlText w:val="%2."/>
      <w:lvlJc w:val="left"/>
      <w:pPr>
        <w:ind w:left="1654" w:hanging="360"/>
      </w:pPr>
    </w:lvl>
    <w:lvl w:ilvl="2" w:tplc="100C001B" w:tentative="1">
      <w:start w:val="1"/>
      <w:numFmt w:val="lowerRoman"/>
      <w:lvlText w:val="%3."/>
      <w:lvlJc w:val="right"/>
      <w:pPr>
        <w:ind w:left="2374" w:hanging="180"/>
      </w:pPr>
    </w:lvl>
    <w:lvl w:ilvl="3" w:tplc="100C000F" w:tentative="1">
      <w:start w:val="1"/>
      <w:numFmt w:val="decimal"/>
      <w:lvlText w:val="%4."/>
      <w:lvlJc w:val="left"/>
      <w:pPr>
        <w:ind w:left="3094" w:hanging="360"/>
      </w:pPr>
    </w:lvl>
    <w:lvl w:ilvl="4" w:tplc="100C0019" w:tentative="1">
      <w:start w:val="1"/>
      <w:numFmt w:val="lowerLetter"/>
      <w:lvlText w:val="%5."/>
      <w:lvlJc w:val="left"/>
      <w:pPr>
        <w:ind w:left="3814" w:hanging="360"/>
      </w:pPr>
    </w:lvl>
    <w:lvl w:ilvl="5" w:tplc="100C001B" w:tentative="1">
      <w:start w:val="1"/>
      <w:numFmt w:val="lowerRoman"/>
      <w:lvlText w:val="%6."/>
      <w:lvlJc w:val="right"/>
      <w:pPr>
        <w:ind w:left="4534" w:hanging="180"/>
      </w:pPr>
    </w:lvl>
    <w:lvl w:ilvl="6" w:tplc="100C000F" w:tentative="1">
      <w:start w:val="1"/>
      <w:numFmt w:val="decimal"/>
      <w:lvlText w:val="%7."/>
      <w:lvlJc w:val="left"/>
      <w:pPr>
        <w:ind w:left="5254" w:hanging="360"/>
      </w:pPr>
    </w:lvl>
    <w:lvl w:ilvl="7" w:tplc="100C0019" w:tentative="1">
      <w:start w:val="1"/>
      <w:numFmt w:val="lowerLetter"/>
      <w:lvlText w:val="%8."/>
      <w:lvlJc w:val="left"/>
      <w:pPr>
        <w:ind w:left="5974" w:hanging="360"/>
      </w:pPr>
    </w:lvl>
    <w:lvl w:ilvl="8" w:tplc="100C001B" w:tentative="1">
      <w:start w:val="1"/>
      <w:numFmt w:val="lowerRoman"/>
      <w:lvlText w:val="%9."/>
      <w:lvlJc w:val="right"/>
      <w:pPr>
        <w:ind w:left="6694" w:hanging="180"/>
      </w:pPr>
    </w:lvl>
  </w:abstractNum>
  <w:abstractNum w:abstractNumId="4">
    <w:nsid w:val="4C924775"/>
    <w:multiLevelType w:val="hybridMultilevel"/>
    <w:tmpl w:val="3D705C7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51D776B4"/>
    <w:multiLevelType w:val="hybridMultilevel"/>
    <w:tmpl w:val="A122485C"/>
    <w:lvl w:ilvl="0" w:tplc="45D44C72">
      <w:start w:val="1"/>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75E76866"/>
    <w:multiLevelType w:val="multilevel"/>
    <w:tmpl w:val="6024A3E0"/>
    <w:lvl w:ilvl="0">
      <w:start w:val="1"/>
      <w:numFmt w:val="decimal"/>
      <w:pStyle w:val="Subtitle1"/>
      <w:lvlText w:val="%1"/>
      <w:lvlJc w:val="left"/>
      <w:pPr>
        <w:ind w:left="574" w:hanging="432"/>
      </w:pPr>
      <w:rPr>
        <w:rFonts w:hint="default"/>
        <w:sz w:val="22"/>
        <w:szCs w:val="22"/>
      </w:rPr>
    </w:lvl>
    <w:lvl w:ilvl="1">
      <w:start w:val="1"/>
      <w:numFmt w:val="decimal"/>
      <w:lvlText w:val="%1.%2"/>
      <w:lvlJc w:val="left"/>
      <w:pPr>
        <w:ind w:left="576" w:hanging="576"/>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6"/>
  </w:num>
  <w:num w:numId="3">
    <w:abstractNumId w:val="3"/>
  </w:num>
  <w:num w:numId="4">
    <w:abstractNumId w:val="6"/>
  </w:num>
  <w:num w:numId="5">
    <w:abstractNumId w:val="6"/>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2B"/>
    <w:rsid w:val="000024F1"/>
    <w:rsid w:val="0002111F"/>
    <w:rsid w:val="00026370"/>
    <w:rsid w:val="000344FB"/>
    <w:rsid w:val="00042B3E"/>
    <w:rsid w:val="000457DB"/>
    <w:rsid w:val="00051191"/>
    <w:rsid w:val="0005659C"/>
    <w:rsid w:val="00056C1A"/>
    <w:rsid w:val="00061302"/>
    <w:rsid w:val="00063AA8"/>
    <w:rsid w:val="000764A9"/>
    <w:rsid w:val="00091BC3"/>
    <w:rsid w:val="000A1C5A"/>
    <w:rsid w:val="000B13C2"/>
    <w:rsid w:val="000B4868"/>
    <w:rsid w:val="000C4780"/>
    <w:rsid w:val="000D358D"/>
    <w:rsid w:val="00121586"/>
    <w:rsid w:val="0013262B"/>
    <w:rsid w:val="00152D98"/>
    <w:rsid w:val="00156906"/>
    <w:rsid w:val="001652BA"/>
    <w:rsid w:val="0017774A"/>
    <w:rsid w:val="0018009E"/>
    <w:rsid w:val="001965AF"/>
    <w:rsid w:val="001A4732"/>
    <w:rsid w:val="001B3DE3"/>
    <w:rsid w:val="001F52F8"/>
    <w:rsid w:val="002005CE"/>
    <w:rsid w:val="00203871"/>
    <w:rsid w:val="00254A5E"/>
    <w:rsid w:val="002A795E"/>
    <w:rsid w:val="003038FE"/>
    <w:rsid w:val="00330E5E"/>
    <w:rsid w:val="003312AB"/>
    <w:rsid w:val="00344A0C"/>
    <w:rsid w:val="003459CD"/>
    <w:rsid w:val="00355BCA"/>
    <w:rsid w:val="00373AE0"/>
    <w:rsid w:val="003746D7"/>
    <w:rsid w:val="00385C37"/>
    <w:rsid w:val="003B4923"/>
    <w:rsid w:val="003B60DA"/>
    <w:rsid w:val="003C00A5"/>
    <w:rsid w:val="003C0C91"/>
    <w:rsid w:val="003C523F"/>
    <w:rsid w:val="003D0232"/>
    <w:rsid w:val="003F00AE"/>
    <w:rsid w:val="003F5957"/>
    <w:rsid w:val="00406826"/>
    <w:rsid w:val="004217BB"/>
    <w:rsid w:val="00421F8D"/>
    <w:rsid w:val="004D6020"/>
    <w:rsid w:val="004F5FD8"/>
    <w:rsid w:val="00502135"/>
    <w:rsid w:val="00563997"/>
    <w:rsid w:val="00563A8C"/>
    <w:rsid w:val="005C79DA"/>
    <w:rsid w:val="005F315E"/>
    <w:rsid w:val="005F4786"/>
    <w:rsid w:val="005F7B50"/>
    <w:rsid w:val="00601627"/>
    <w:rsid w:val="00654D72"/>
    <w:rsid w:val="00691A2B"/>
    <w:rsid w:val="006A2829"/>
    <w:rsid w:val="006C1D68"/>
    <w:rsid w:val="007157D2"/>
    <w:rsid w:val="0072405F"/>
    <w:rsid w:val="00727D71"/>
    <w:rsid w:val="00730388"/>
    <w:rsid w:val="00732ADB"/>
    <w:rsid w:val="00752CD3"/>
    <w:rsid w:val="00783F38"/>
    <w:rsid w:val="007913CA"/>
    <w:rsid w:val="007A0D1A"/>
    <w:rsid w:val="007B173F"/>
    <w:rsid w:val="007C66FD"/>
    <w:rsid w:val="007D1477"/>
    <w:rsid w:val="007D331E"/>
    <w:rsid w:val="007E0D45"/>
    <w:rsid w:val="00800E57"/>
    <w:rsid w:val="00823D29"/>
    <w:rsid w:val="00833670"/>
    <w:rsid w:val="008B6CE8"/>
    <w:rsid w:val="008C0CF7"/>
    <w:rsid w:val="008C27DC"/>
    <w:rsid w:val="00996A4B"/>
    <w:rsid w:val="009A2476"/>
    <w:rsid w:val="009B1EC1"/>
    <w:rsid w:val="00A5333F"/>
    <w:rsid w:val="00AA6BB8"/>
    <w:rsid w:val="00AB5578"/>
    <w:rsid w:val="00AD2C18"/>
    <w:rsid w:val="00AE6434"/>
    <w:rsid w:val="00B023C1"/>
    <w:rsid w:val="00B228D4"/>
    <w:rsid w:val="00B249E9"/>
    <w:rsid w:val="00B513C2"/>
    <w:rsid w:val="00B71C4F"/>
    <w:rsid w:val="00B73AA0"/>
    <w:rsid w:val="00B77D3B"/>
    <w:rsid w:val="00B87D42"/>
    <w:rsid w:val="00B95DE3"/>
    <w:rsid w:val="00BA66DD"/>
    <w:rsid w:val="00BE5991"/>
    <w:rsid w:val="00BF75B1"/>
    <w:rsid w:val="00C04B9A"/>
    <w:rsid w:val="00C11201"/>
    <w:rsid w:val="00C3139F"/>
    <w:rsid w:val="00C35426"/>
    <w:rsid w:val="00C67F6E"/>
    <w:rsid w:val="00C972F4"/>
    <w:rsid w:val="00D50DC2"/>
    <w:rsid w:val="00D558F8"/>
    <w:rsid w:val="00D75792"/>
    <w:rsid w:val="00D82BDE"/>
    <w:rsid w:val="00D96C1E"/>
    <w:rsid w:val="00DA315C"/>
    <w:rsid w:val="00DB2B6D"/>
    <w:rsid w:val="00E17D48"/>
    <w:rsid w:val="00E25222"/>
    <w:rsid w:val="00E278B9"/>
    <w:rsid w:val="00E35476"/>
    <w:rsid w:val="00E44B7E"/>
    <w:rsid w:val="00E53DAC"/>
    <w:rsid w:val="00E74636"/>
    <w:rsid w:val="00E84E43"/>
    <w:rsid w:val="00E926F8"/>
    <w:rsid w:val="00E94B1F"/>
    <w:rsid w:val="00EB5189"/>
    <w:rsid w:val="00EC2F52"/>
    <w:rsid w:val="00ED64FA"/>
    <w:rsid w:val="00F254AF"/>
    <w:rsid w:val="00F65F3A"/>
    <w:rsid w:val="00F775A0"/>
    <w:rsid w:val="00FB3289"/>
    <w:rsid w:val="00FD173D"/>
    <w:rsid w:val="00FD33F4"/>
    <w:rsid w:val="00FD6CC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1A2B"/>
    <w:pPr>
      <w:tabs>
        <w:tab w:val="center" w:pos="4536"/>
        <w:tab w:val="right" w:pos="9072"/>
      </w:tabs>
      <w:spacing w:after="0" w:line="240" w:lineRule="auto"/>
    </w:pPr>
  </w:style>
  <w:style w:type="character" w:customStyle="1" w:styleId="En-tteCar">
    <w:name w:val="En-tête Car"/>
    <w:basedOn w:val="Policepardfaut"/>
    <w:link w:val="En-tte"/>
    <w:uiPriority w:val="99"/>
    <w:rsid w:val="00691A2B"/>
  </w:style>
  <w:style w:type="paragraph" w:styleId="Pieddepage">
    <w:name w:val="footer"/>
    <w:basedOn w:val="Normal"/>
    <w:link w:val="PieddepageCar"/>
    <w:uiPriority w:val="99"/>
    <w:unhideWhenUsed/>
    <w:rsid w:val="00691A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A2B"/>
  </w:style>
  <w:style w:type="paragraph" w:styleId="Paragraphedeliste">
    <w:name w:val="List Paragraph"/>
    <w:basedOn w:val="Normal"/>
    <w:uiPriority w:val="34"/>
    <w:qFormat/>
    <w:rsid w:val="00691A2B"/>
    <w:pPr>
      <w:ind w:left="720"/>
      <w:contextualSpacing/>
    </w:pPr>
  </w:style>
  <w:style w:type="table" w:styleId="Grilledutableau">
    <w:name w:val="Table Grid"/>
    <w:basedOn w:val="TableauNormal"/>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rsid w:val="00691A2B"/>
    <w:pPr>
      <w:numPr>
        <w:numId w:val="2"/>
      </w:numPr>
    </w:pPr>
  </w:style>
  <w:style w:type="table" w:customStyle="1" w:styleId="Grilledutableau1">
    <w:name w:val="Grille du tableau1"/>
    <w:basedOn w:val="TableauNormal"/>
    <w:next w:val="Grilledutableau"/>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91A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1A2B"/>
    <w:rPr>
      <w:rFonts w:ascii="Tahoma" w:hAnsi="Tahoma" w:cs="Tahoma"/>
      <w:sz w:val="16"/>
      <w:szCs w:val="16"/>
    </w:rPr>
  </w:style>
  <w:style w:type="paragraph" w:styleId="Sansinterligne">
    <w:name w:val="No Spacing"/>
    <w:uiPriority w:val="1"/>
    <w:qFormat/>
    <w:rsid w:val="00691A2B"/>
    <w:pPr>
      <w:spacing w:after="0" w:line="240" w:lineRule="auto"/>
    </w:pPr>
  </w:style>
  <w:style w:type="character" w:styleId="Marquedecommentaire">
    <w:name w:val="annotation reference"/>
    <w:basedOn w:val="Policepardfaut"/>
    <w:uiPriority w:val="99"/>
    <w:semiHidden/>
    <w:unhideWhenUsed/>
    <w:rsid w:val="00344A0C"/>
    <w:rPr>
      <w:sz w:val="16"/>
      <w:szCs w:val="16"/>
    </w:rPr>
  </w:style>
  <w:style w:type="paragraph" w:styleId="Commentaire">
    <w:name w:val="annotation text"/>
    <w:basedOn w:val="Normal"/>
    <w:link w:val="CommentaireCar"/>
    <w:uiPriority w:val="99"/>
    <w:semiHidden/>
    <w:unhideWhenUsed/>
    <w:rsid w:val="00344A0C"/>
    <w:pPr>
      <w:spacing w:line="240" w:lineRule="auto"/>
    </w:pPr>
    <w:rPr>
      <w:sz w:val="20"/>
      <w:szCs w:val="20"/>
    </w:rPr>
  </w:style>
  <w:style w:type="character" w:customStyle="1" w:styleId="CommentaireCar">
    <w:name w:val="Commentaire Car"/>
    <w:basedOn w:val="Policepardfaut"/>
    <w:link w:val="Commentaire"/>
    <w:uiPriority w:val="99"/>
    <w:semiHidden/>
    <w:rsid w:val="00344A0C"/>
    <w:rPr>
      <w:sz w:val="20"/>
      <w:szCs w:val="20"/>
    </w:rPr>
  </w:style>
  <w:style w:type="paragraph" w:styleId="Objetducommentaire">
    <w:name w:val="annotation subject"/>
    <w:basedOn w:val="Commentaire"/>
    <w:next w:val="Commentaire"/>
    <w:link w:val="ObjetducommentaireCar"/>
    <w:uiPriority w:val="99"/>
    <w:semiHidden/>
    <w:unhideWhenUsed/>
    <w:rsid w:val="00344A0C"/>
    <w:rPr>
      <w:b/>
      <w:bCs/>
    </w:rPr>
  </w:style>
  <w:style w:type="character" w:customStyle="1" w:styleId="ObjetducommentaireCar">
    <w:name w:val="Objet du commentaire Car"/>
    <w:basedOn w:val="CommentaireCar"/>
    <w:link w:val="Objetducommentaire"/>
    <w:uiPriority w:val="99"/>
    <w:semiHidden/>
    <w:rsid w:val="00344A0C"/>
    <w:rPr>
      <w:b/>
      <w:bCs/>
      <w:sz w:val="20"/>
      <w:szCs w:val="20"/>
    </w:rPr>
  </w:style>
  <w:style w:type="paragraph" w:styleId="Notedebasdepage">
    <w:name w:val="footnote text"/>
    <w:basedOn w:val="Normal"/>
    <w:link w:val="NotedebasdepageCar"/>
    <w:uiPriority w:val="99"/>
    <w:semiHidden/>
    <w:unhideWhenUsed/>
    <w:rsid w:val="00B023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23C1"/>
    <w:rPr>
      <w:sz w:val="20"/>
      <w:szCs w:val="20"/>
    </w:rPr>
  </w:style>
  <w:style w:type="character" w:styleId="Appelnotedebasdep">
    <w:name w:val="footnote reference"/>
    <w:basedOn w:val="Policepardfaut"/>
    <w:uiPriority w:val="99"/>
    <w:semiHidden/>
    <w:unhideWhenUsed/>
    <w:rsid w:val="00B023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1A2B"/>
    <w:pPr>
      <w:tabs>
        <w:tab w:val="center" w:pos="4536"/>
        <w:tab w:val="right" w:pos="9072"/>
      </w:tabs>
      <w:spacing w:after="0" w:line="240" w:lineRule="auto"/>
    </w:pPr>
  </w:style>
  <w:style w:type="character" w:customStyle="1" w:styleId="En-tteCar">
    <w:name w:val="En-tête Car"/>
    <w:basedOn w:val="Policepardfaut"/>
    <w:link w:val="En-tte"/>
    <w:uiPriority w:val="99"/>
    <w:rsid w:val="00691A2B"/>
  </w:style>
  <w:style w:type="paragraph" w:styleId="Pieddepage">
    <w:name w:val="footer"/>
    <w:basedOn w:val="Normal"/>
    <w:link w:val="PieddepageCar"/>
    <w:uiPriority w:val="99"/>
    <w:unhideWhenUsed/>
    <w:rsid w:val="00691A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A2B"/>
  </w:style>
  <w:style w:type="paragraph" w:styleId="Paragraphedeliste">
    <w:name w:val="List Paragraph"/>
    <w:basedOn w:val="Normal"/>
    <w:uiPriority w:val="34"/>
    <w:qFormat/>
    <w:rsid w:val="00691A2B"/>
    <w:pPr>
      <w:ind w:left="720"/>
      <w:contextualSpacing/>
    </w:pPr>
  </w:style>
  <w:style w:type="table" w:styleId="Grilledutableau">
    <w:name w:val="Table Grid"/>
    <w:basedOn w:val="TableauNormal"/>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rsid w:val="00691A2B"/>
    <w:pPr>
      <w:numPr>
        <w:numId w:val="2"/>
      </w:numPr>
    </w:pPr>
  </w:style>
  <w:style w:type="table" w:customStyle="1" w:styleId="Grilledutableau1">
    <w:name w:val="Grille du tableau1"/>
    <w:basedOn w:val="TableauNormal"/>
    <w:next w:val="Grilledutableau"/>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91A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1A2B"/>
    <w:rPr>
      <w:rFonts w:ascii="Tahoma" w:hAnsi="Tahoma" w:cs="Tahoma"/>
      <w:sz w:val="16"/>
      <w:szCs w:val="16"/>
    </w:rPr>
  </w:style>
  <w:style w:type="paragraph" w:styleId="Sansinterligne">
    <w:name w:val="No Spacing"/>
    <w:uiPriority w:val="1"/>
    <w:qFormat/>
    <w:rsid w:val="00691A2B"/>
    <w:pPr>
      <w:spacing w:after="0" w:line="240" w:lineRule="auto"/>
    </w:pPr>
  </w:style>
  <w:style w:type="character" w:styleId="Marquedecommentaire">
    <w:name w:val="annotation reference"/>
    <w:basedOn w:val="Policepardfaut"/>
    <w:uiPriority w:val="99"/>
    <w:semiHidden/>
    <w:unhideWhenUsed/>
    <w:rsid w:val="00344A0C"/>
    <w:rPr>
      <w:sz w:val="16"/>
      <w:szCs w:val="16"/>
    </w:rPr>
  </w:style>
  <w:style w:type="paragraph" w:styleId="Commentaire">
    <w:name w:val="annotation text"/>
    <w:basedOn w:val="Normal"/>
    <w:link w:val="CommentaireCar"/>
    <w:uiPriority w:val="99"/>
    <w:semiHidden/>
    <w:unhideWhenUsed/>
    <w:rsid w:val="00344A0C"/>
    <w:pPr>
      <w:spacing w:line="240" w:lineRule="auto"/>
    </w:pPr>
    <w:rPr>
      <w:sz w:val="20"/>
      <w:szCs w:val="20"/>
    </w:rPr>
  </w:style>
  <w:style w:type="character" w:customStyle="1" w:styleId="CommentaireCar">
    <w:name w:val="Commentaire Car"/>
    <w:basedOn w:val="Policepardfaut"/>
    <w:link w:val="Commentaire"/>
    <w:uiPriority w:val="99"/>
    <w:semiHidden/>
    <w:rsid w:val="00344A0C"/>
    <w:rPr>
      <w:sz w:val="20"/>
      <w:szCs w:val="20"/>
    </w:rPr>
  </w:style>
  <w:style w:type="paragraph" w:styleId="Objetducommentaire">
    <w:name w:val="annotation subject"/>
    <w:basedOn w:val="Commentaire"/>
    <w:next w:val="Commentaire"/>
    <w:link w:val="ObjetducommentaireCar"/>
    <w:uiPriority w:val="99"/>
    <w:semiHidden/>
    <w:unhideWhenUsed/>
    <w:rsid w:val="00344A0C"/>
    <w:rPr>
      <w:b/>
      <w:bCs/>
    </w:rPr>
  </w:style>
  <w:style w:type="character" w:customStyle="1" w:styleId="ObjetducommentaireCar">
    <w:name w:val="Objet du commentaire Car"/>
    <w:basedOn w:val="CommentaireCar"/>
    <w:link w:val="Objetducommentaire"/>
    <w:uiPriority w:val="99"/>
    <w:semiHidden/>
    <w:rsid w:val="00344A0C"/>
    <w:rPr>
      <w:b/>
      <w:bCs/>
      <w:sz w:val="20"/>
      <w:szCs w:val="20"/>
    </w:rPr>
  </w:style>
  <w:style w:type="paragraph" w:styleId="Notedebasdepage">
    <w:name w:val="footnote text"/>
    <w:basedOn w:val="Normal"/>
    <w:link w:val="NotedebasdepageCar"/>
    <w:uiPriority w:val="99"/>
    <w:semiHidden/>
    <w:unhideWhenUsed/>
    <w:rsid w:val="00B023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23C1"/>
    <w:rPr>
      <w:sz w:val="20"/>
      <w:szCs w:val="20"/>
    </w:rPr>
  </w:style>
  <w:style w:type="character" w:styleId="Appelnotedebasdep">
    <w:name w:val="footnote reference"/>
    <w:basedOn w:val="Policepardfaut"/>
    <w:uiPriority w:val="99"/>
    <w:semiHidden/>
    <w:unhideWhenUsed/>
    <w:rsid w:val="00B023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38BA-EC8F-485F-AABF-98D3CA65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7054</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TDH</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Mareschal</dc:creator>
  <cp:lastModifiedBy>Allison Noiran</cp:lastModifiedBy>
  <cp:revision>9</cp:revision>
  <dcterms:created xsi:type="dcterms:W3CDTF">2017-07-27T07:40:00Z</dcterms:created>
  <dcterms:modified xsi:type="dcterms:W3CDTF">2017-09-07T09:11:00Z</dcterms:modified>
</cp:coreProperties>
</file>